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mbria" w:cs="Cambria" w:eastAsia="Cambria" w:hAnsi="Cambria"/>
          <w:color w:val="6B7280"/>
          <w:spacing w:val="20"/>
          <w:sz w:val="18"/>
          <w:szCs w:val="18"/>
        </w:rPr>
        <w:t xml:space="preserve">CAPSTONE ASSIGNMENT 20.1 · INITIAL REPORT AND EXPLORATORY DATA ANALYSIS</w:t>
      </w:r>
    </w:p>
    <w:p>
      <w:pPr>
        <w:spacing w:after="120"/>
        <w:jc w:val="center"/>
      </w:pPr>
      <w:r>
        <w:rPr>
          <w:rFonts w:ascii="Cambria" w:cs="Cambria" w:eastAsia="Cambria" w:hAnsi="Cambria"/>
          <w:b/>
          <w:bCs/>
          <w:color w:val="1F3A5F"/>
          <w:sz w:val="31"/>
          <w:szCs w:val="31"/>
        </w:rPr>
        <w:t xml:space="preserve">NYC Food Safety Inspection Model</w:t>
      </w:r>
    </w:p>
    <w:p>
      <w:pPr>
        <w:spacing w:after="60"/>
        <w:jc w:val="center"/>
      </w:pPr>
      <w:r>
        <w:rPr>
          <w:rFonts w:ascii="Cambria" w:cs="Cambria" w:eastAsia="Cambria" w:hAnsi="Cambria"/>
          <w:color w:val="1F2937"/>
          <w:sz w:val="21"/>
          <w:szCs w:val="21"/>
        </w:rPr>
        <w:t xml:space="preserve">Predicting Serious Restaurant Inspection Failures · Summary of Findings · Vyom Rawat</w:t>
      </w:r>
    </w:p>
    <w:p>
      <w:pPr>
        <w:pBdr>
          <w:bottom w:val="single" w:color="1F3A5F" w:sz="6" w:space="10"/>
        </w:pBdr>
        <w:spacing w:after="160"/>
        <w:jc w:val="center"/>
      </w:pPr>
      <w:r>
        <w:rPr>
          <w:rFonts w:ascii="Cambria" w:cs="Cambria" w:eastAsia="Cambria" w:hAnsi="Cambria"/>
          <w:color w:val="6B7280"/>
          <w:sz w:val="19"/>
          <w:szCs w:val="19"/>
        </w:rPr>
        <w:t xml:space="preserve">UC Berkeley Professional Certificate in Machine Learning and Artificial Intelligence · October 2026</w:t>
      </w:r>
    </w:p>
    <w:p>
      <w:pPr>
        <w:pStyle w:val="Heading1"/>
        <w:spacing w:after="100" w:before="220"/>
      </w:pPr>
      <w:r>
        <w:rPr>
          <w:rFonts w:ascii="Cambria" w:cs="Cambria" w:eastAsia="Cambria" w:hAnsi="Cambria"/>
          <w:b/>
          <w:bCs/>
          <w:color w:val="1F3A5F"/>
          <w:sz w:val="25"/>
          <w:szCs w:val="25"/>
        </w:rPr>
        <w:t xml:space="preserve">Links to the Analysis</w:t>
      </w:r>
    </w:p>
    <w:p>
      <w:pPr>
        <w:pStyle w:val="ListParagraph"/>
        <w:numPr>
          <w:ilvl w:val="0"/>
          <w:numId w:val="2"/>
        </w:numPr>
        <w:spacing w:after="70" w:line="264"/>
      </w:pPr>
      <w:r>
        <w:rPr>
          <w:rFonts w:ascii="Cambria" w:cs="Cambria" w:eastAsia="Cambria" w:hAnsi="Cambria"/>
          <w:b/>
          <w:bCs/>
          <w:color w:val="1F2937"/>
          <w:sz w:val="21"/>
          <w:szCs w:val="21"/>
        </w:rPr>
        <w:t xml:space="preserve">GitHub repository: </w:t>
      </w:r>
      <w:hyperlink w:history="1" r:id="rIdurbz6clydhcxvduj7h-bz">
        <w:r>
          <w:rPr>
            <w:rFonts w:ascii="Cambria" w:cs="Cambria" w:eastAsia="Cambria" w:hAnsi="Cambria"/>
            <w:color w:val="1D4ED8"/>
            <w:sz w:val="21"/>
            <w:szCs w:val="21"/>
            <w:u w:val="single"/>
          </w:rPr>
          <w:t xml:space="preserve">VyomR/nyc-food-safety-inspection-eda</w:t>
        </w:r>
      </w:hyperlink>
    </w:p>
    <w:p>
      <w:pPr>
        <w:pStyle w:val="ListParagraph"/>
        <w:numPr>
          <w:ilvl w:val="0"/>
          <w:numId w:val="2"/>
        </w:numPr>
        <w:spacing w:after="70" w:line="264"/>
      </w:pPr>
      <w:r>
        <w:rPr>
          <w:rFonts w:ascii="Cambria" w:cs="Cambria" w:eastAsia="Cambria" w:hAnsi="Cambria"/>
          <w:b/>
          <w:bCs/>
          <w:color w:val="1F2937"/>
          <w:sz w:val="21"/>
          <w:szCs w:val="21"/>
        </w:rPr>
        <w:t xml:space="preserve">Notebook 1 (cleaning, EDA, features): </w:t>
      </w:r>
      <w:hyperlink w:history="1" r:id="rIdtwtrqj-qntyz1d2kt9t7g">
        <w:r>
          <w:rPr>
            <w:rFonts w:ascii="Cambria" w:cs="Cambria" w:eastAsia="Cambria" w:hAnsi="Cambria"/>
            <w:color w:val="1D4ED8"/>
            <w:sz w:val="21"/>
            <w:szCs w:val="21"/>
            <w:u w:val="single"/>
          </w:rPr>
          <w:t xml:space="preserve">01_data_cleaning_and_eda.ipynb</w:t>
        </w:r>
      </w:hyperlink>
    </w:p>
    <w:p>
      <w:pPr>
        <w:pStyle w:val="ListParagraph"/>
        <w:numPr>
          <w:ilvl w:val="0"/>
          <w:numId w:val="2"/>
        </w:numPr>
        <w:spacing w:after="70" w:line="264"/>
      </w:pPr>
      <w:r>
        <w:rPr>
          <w:rFonts w:ascii="Cambria" w:cs="Cambria" w:eastAsia="Cambria" w:hAnsi="Cambria"/>
          <w:b/>
          <w:bCs/>
          <w:color w:val="1F2937"/>
          <w:sz w:val="21"/>
          <w:szCs w:val="21"/>
        </w:rPr>
        <w:t xml:space="preserve">Notebook 2 (baseline model): </w:t>
      </w:r>
      <w:hyperlink w:history="1" r:id="rId_xjeiy8jf9u3gvdlvep5r">
        <w:r>
          <w:rPr>
            <w:rFonts w:ascii="Cambria" w:cs="Cambria" w:eastAsia="Cambria" w:hAnsi="Cambria"/>
            <w:color w:val="1D4ED8"/>
            <w:sz w:val="21"/>
            <w:szCs w:val="21"/>
            <w:u w:val="single"/>
          </w:rPr>
          <w:t xml:space="preserve">02_baseline_model.ipynb</w:t>
        </w:r>
      </w:hyperlink>
    </w:p>
    <w:p>
      <w:pPr>
        <w:pStyle w:val="Heading1"/>
        <w:spacing w:after="100" w:before="220"/>
      </w:pPr>
      <w:r>
        <w:rPr>
          <w:rFonts w:ascii="Cambria" w:cs="Cambria" w:eastAsia="Cambria" w:hAnsi="Cambria"/>
          <w:b/>
          <w:bCs/>
          <w:color w:val="1F3A5F"/>
          <w:sz w:val="25"/>
          <w:szCs w:val="25"/>
        </w:rPr>
        <w:t xml:space="preserve">1. The Question</w:t>
      </w:r>
    </w:p>
    <w:p>
      <w:pPr>
        <w:spacing w:after="110" w:line="264"/>
      </w:pPr>
      <w:r>
        <w:rPr>
          <w:rFonts w:ascii="Cambria" w:cs="Cambria" w:eastAsia="Cambria" w:hAnsi="Cambria"/>
          <w:color w:val="1F2937"/>
          <w:sz w:val="21"/>
          <w:szCs w:val="21"/>
        </w:rPr>
        <w:t xml:space="preserve">Using only information available before an inspection, can we predict which New York City restaurants will receive a </w:t>
      </w:r>
      <w:r>
        <w:rPr>
          <w:rFonts w:ascii="Cambria" w:cs="Cambria" w:eastAsia="Cambria" w:hAnsi="Cambria"/>
          <w:b/>
          <w:bCs/>
          <w:color w:val="1F2937"/>
          <w:sz w:val="21"/>
          <w:szCs w:val="21"/>
        </w:rPr>
        <w:t xml:space="preserve">serious failing score (28 points or more, the C-grade range)</w:t>
      </w:r>
      <w:r>
        <w:rPr>
          <w:rFonts w:ascii="Cambria" w:cs="Cambria" w:eastAsia="Cambria" w:hAnsi="Cambria"/>
          <w:color w:val="1F2937"/>
          <w:sz w:val="21"/>
          <w:szCs w:val="21"/>
        </w:rPr>
        <w:t xml:space="preserve"> at their next routine health inspection? A reliable answer would let the Health Department visit the riskiest restaurants first and find unsafe kitchens sooner with the same number of inspectors.</w:t>
      </w:r>
    </w:p>
    <w:p>
      <w:pPr>
        <w:pStyle w:val="Heading1"/>
        <w:spacing w:after="100" w:before="220"/>
      </w:pPr>
      <w:r>
        <w:rPr>
          <w:rFonts w:ascii="Cambria" w:cs="Cambria" w:eastAsia="Cambria" w:hAnsi="Cambria"/>
          <w:b/>
          <w:bCs/>
          <w:color w:val="1F3A5F"/>
          <w:sz w:val="25"/>
          <w:szCs w:val="25"/>
        </w:rPr>
        <w:t xml:space="preserve">2. Data and Cleaning</w:t>
      </w:r>
    </w:p>
    <w:p>
      <w:pPr>
        <w:spacing w:after="110" w:line="264"/>
      </w:pPr>
      <w:r>
        <w:rPr>
          <w:rFonts w:ascii="Cambria" w:cs="Cambria" w:eastAsia="Cambria" w:hAnsi="Cambria"/>
          <w:color w:val="1F2937"/>
          <w:sz w:val="21"/>
          <w:szCs w:val="21"/>
        </w:rPr>
        <w:t xml:space="preserve">Source: </w:t>
      </w:r>
      <w:hyperlink w:history="1" r:id="rIdowwjmhotgus-ikz0l0avk">
        <w:r>
          <w:rPr>
            <w:rFonts w:ascii="Cambria" w:cs="Cambria" w:eastAsia="Cambria" w:hAnsi="Cambria"/>
            <w:color w:val="1D4ED8"/>
            <w:sz w:val="21"/>
            <w:szCs w:val="21"/>
            <w:u w:val="single"/>
          </w:rPr>
          <w:t xml:space="preserve">DOHMH New York City Restaurant Inspection Results</w:t>
        </w:r>
      </w:hyperlink>
      <w:r>
        <w:rPr>
          <w:rFonts w:ascii="Cambria" w:cs="Cambria" w:eastAsia="Cambria" w:hAnsi="Cambria"/>
          <w:color w:val="1F2937"/>
          <w:sz w:val="21"/>
          <w:szCs w:val="21"/>
        </w:rPr>
        <w:t xml:space="preserve"> (NYC Open Data), snapshot of 25 October 2026: 294,406 violation records for 31,369 restaurants.</w:t>
      </w:r>
    </w:p>
    <w:p>
      <w:pPr>
        <w:pStyle w:val="ListParagraph"/>
        <w:numPr>
          <w:ilvl w:val="0"/>
          <w:numId w:val="2"/>
        </w:numPr>
        <w:spacing w:after="70" w:line="264"/>
      </w:pPr>
      <w:r>
        <w:rPr>
          <w:rFonts w:ascii="Cambria" w:cs="Cambria" w:eastAsia="Cambria" w:hAnsi="Cambria"/>
          <w:b/>
          <w:bCs/>
          <w:color w:val="1F2937"/>
          <w:sz w:val="21"/>
          <w:szCs w:val="21"/>
        </w:rPr>
        <w:t xml:space="preserve">Duplicates and placeholders:</w:t>
      </w:r>
      <w:r>
        <w:rPr>
          <w:rFonts w:ascii="Cambria" w:cs="Cambria" w:eastAsia="Cambria" w:hAnsi="Cambria"/>
          <w:color w:val="1F2937"/>
          <w:sz w:val="21"/>
          <w:szCs w:val="21"/>
        </w:rPr>
        <w:t xml:space="preserve"> removed 217 duplicate rows and 3,917 placeholder rows dated 1900 (restaurants not yet inspected); kept 2022 onward because earlier years are thinly covered.</w:t>
      </w:r>
    </w:p>
    <w:p>
      <w:pPr>
        <w:pStyle w:val="ListParagraph"/>
        <w:numPr>
          <w:ilvl w:val="0"/>
          <w:numId w:val="2"/>
        </w:numPr>
        <w:spacing w:after="70" w:line="264"/>
      </w:pPr>
      <w:r>
        <w:rPr>
          <w:rFonts w:ascii="Cambria" w:cs="Cambria" w:eastAsia="Cambria" w:hAnsi="Cambria"/>
          <w:b/>
          <w:bCs/>
          <w:color w:val="1F2937"/>
          <w:sz w:val="21"/>
          <w:szCs w:val="21"/>
        </w:rPr>
        <w:t xml:space="preserve">Missing and invalid values:</w:t>
      </w:r>
      <w:r>
        <w:rPr>
          <w:rFonts w:ascii="Cambria" w:cs="Cambria" w:eastAsia="Cambria" w:hAnsi="Cambria"/>
          <w:color w:val="1F2937"/>
          <w:sz w:val="21"/>
          <w:szCs w:val="21"/>
        </w:rPr>
        <w:t xml:space="preserve"> coordinates of (0, 0) and borough code “0” treated as missing and filled from other records with the same ZIP code; missing cuisine set to “Not Listed”; grade left missing because it is not issued on every inspection.</w:t>
      </w:r>
    </w:p>
    <w:p>
      <w:pPr>
        <w:pStyle w:val="ListParagraph"/>
        <w:numPr>
          <w:ilvl w:val="0"/>
          <w:numId w:val="2"/>
        </w:numPr>
        <w:spacing w:after="70" w:line="264"/>
      </w:pPr>
      <w:r>
        <w:rPr>
          <w:rFonts w:ascii="Cambria" w:cs="Cambria" w:eastAsia="Cambria" w:hAnsi="Cambria"/>
          <w:b/>
          <w:bCs/>
          <w:color w:val="1F2937"/>
          <w:sz w:val="21"/>
          <w:szCs w:val="21"/>
        </w:rPr>
        <w:t xml:space="preserve">Roll-up:</w:t>
      </w:r>
      <w:r>
        <w:rPr>
          <w:rFonts w:ascii="Cambria" w:cs="Cambria" w:eastAsia="Cambria" w:hAnsi="Cambria"/>
          <w:color w:val="1F2937"/>
          <w:sz w:val="21"/>
          <w:szCs w:val="21"/>
        </w:rPr>
        <w:t xml:space="preserve"> violations combined into 91,745 inspections; the routine first visit of each inspection cycle is the prediction target.</w:t>
      </w:r>
    </w:p>
    <w:p>
      <w:pPr>
        <w:pStyle w:val="ListParagraph"/>
        <w:numPr>
          <w:ilvl w:val="0"/>
          <w:numId w:val="2"/>
        </w:numPr>
        <w:spacing w:after="70" w:line="264"/>
      </w:pPr>
      <w:r>
        <w:rPr>
          <w:rFonts w:ascii="Cambria" w:cs="Cambria" w:eastAsia="Cambria" w:hAnsi="Cambria"/>
          <w:b/>
          <w:bCs/>
          <w:color w:val="1F2937"/>
          <w:sz w:val="21"/>
          <w:szCs w:val="21"/>
        </w:rPr>
        <w:t xml:space="preserve">Outliers:</w:t>
      </w:r>
      <w:r>
        <w:rPr>
          <w:rFonts w:ascii="Cambria" w:cs="Cambria" w:eastAsia="Cambria" w:hAnsi="Cambria"/>
          <w:color w:val="1F2937"/>
          <w:sz w:val="21"/>
          <w:szCs w:val="21"/>
        </w:rPr>
        <w:t xml:space="preserve"> very high scores (up to 157) are genuine, with many violations and frequent closures, so they were kept and score-history features were capped at the 99th percentile; 77 zero-score inspections with critical violations were removed as data-entry errors.</w:t>
      </w:r>
    </w:p>
    <w:p>
      <w:pPr>
        <w:pStyle w:val="ListParagraph"/>
        <w:numPr>
          <w:ilvl w:val="0"/>
          <w:numId w:val="2"/>
        </w:numPr>
        <w:spacing w:after="70" w:line="264"/>
      </w:pPr>
      <w:r>
        <w:rPr>
          <w:rFonts w:ascii="Cambria" w:cs="Cambria" w:eastAsia="Cambria" w:hAnsi="Cambria"/>
          <w:b/>
          <w:bCs/>
          <w:color w:val="1F2937"/>
          <w:sz w:val="21"/>
          <w:szCs w:val="21"/>
        </w:rPr>
        <w:t xml:space="preserve">Final dataset:</w:t>
      </w:r>
      <w:r>
        <w:rPr>
          <w:rFonts w:ascii="Cambria" w:cs="Cambria" w:eastAsia="Cambria" w:hAnsi="Cambria"/>
          <w:color w:val="1F2937"/>
          <w:sz w:val="21"/>
          <w:szCs w:val="21"/>
        </w:rPr>
        <w:t xml:space="preserve"> 46,000 routine inspections of 22,033 restaurants with 21 features built only from earlier inspections (previous scores, pest, temperature and hygiene history, closures, time since the last visit, cuisine, borough, chain size, month).</w:t>
      </w:r>
    </w:p>
    <w:p>
      <w:pPr>
        <w:pStyle w:val="Heading1"/>
        <w:spacing w:after="100" w:before="220"/>
      </w:pPr>
      <w:r>
        <w:rPr>
          <w:rFonts w:ascii="Cambria" w:cs="Cambria" w:eastAsia="Cambria" w:hAnsi="Cambria"/>
          <w:b/>
          <w:bCs/>
          <w:color w:val="1F3A5F"/>
          <w:sz w:val="25"/>
          <w:szCs w:val="25"/>
        </w:rPr>
        <w:t xml:space="preserve">3. Key Findings from the EDA</w:t>
      </w:r>
    </w:p>
    <w:p>
      <w:pPr>
        <w:pStyle w:val="ListParagraph"/>
        <w:numPr>
          <w:ilvl w:val="0"/>
          <w:numId w:val="2"/>
        </w:numPr>
        <w:spacing w:after="70" w:line="264"/>
      </w:pPr>
      <w:r>
        <w:rPr>
          <w:rFonts w:ascii="Cambria" w:cs="Cambria" w:eastAsia="Cambria" w:hAnsi="Cambria"/>
          <w:b/>
          <w:bCs/>
          <w:color w:val="1F2937"/>
          <w:sz w:val="21"/>
          <w:szCs w:val="21"/>
        </w:rPr>
        <w:t xml:space="preserve">Serious failures are common but the minority:</w:t>
      </w:r>
      <w:r>
        <w:rPr>
          <w:rFonts w:ascii="Cambria" w:cs="Cambria" w:eastAsia="Cambria" w:hAnsi="Cambria"/>
          <w:color w:val="1F2937"/>
          <w:sz w:val="21"/>
          <w:szCs w:val="21"/>
        </w:rPr>
        <w:t xml:space="preserve"> 18.1% of routine inspections score 28 or more, so the target is imbalanced.</w:t>
      </w:r>
    </w:p>
    <w:p>
      <w:pPr>
        <w:pStyle w:val="ListParagraph"/>
        <w:numPr>
          <w:ilvl w:val="0"/>
          <w:numId w:val="2"/>
        </w:numPr>
        <w:spacing w:after="70" w:line="264"/>
      </w:pPr>
      <w:r>
        <w:rPr>
          <w:rFonts w:ascii="Cambria" w:cs="Cambria" w:eastAsia="Cambria" w:hAnsi="Cambria"/>
          <w:b/>
          <w:bCs/>
          <w:color w:val="1F2937"/>
          <w:sz w:val="21"/>
          <w:szCs w:val="21"/>
        </w:rPr>
        <w:t xml:space="preserve">Past behavior is the strongest signal:</w:t>
      </w:r>
      <w:r>
        <w:rPr>
          <w:rFonts w:ascii="Cambria" w:cs="Cambria" w:eastAsia="Cambria" w:hAnsi="Cambria"/>
          <w:color w:val="1F2937"/>
          <w:sz w:val="21"/>
          <w:szCs w:val="21"/>
        </w:rPr>
        <w:t xml:space="preserve"> restaurants whose previous routine score was very high fail again 36% of the time vs 12% after an A-range score; earlier pests (23% vs 13%) and closures (32% vs 17%) also raise the risk.</w:t>
      </w:r>
    </w:p>
    <w:p>
      <w:pPr>
        <w:pStyle w:val="ListParagraph"/>
        <w:numPr>
          <w:ilvl w:val="0"/>
          <w:numId w:val="2"/>
        </w:numPr>
        <w:spacing w:after="70" w:line="264"/>
      </w:pPr>
      <w:r>
        <w:rPr>
          <w:rFonts w:ascii="Cambria" w:cs="Cambria" w:eastAsia="Cambria" w:hAnsi="Cambria"/>
          <w:b/>
          <w:bCs/>
          <w:color w:val="1F2937"/>
          <w:sz w:val="21"/>
          <w:szCs w:val="21"/>
        </w:rPr>
        <w:t xml:space="preserve">Chains fail about half as often</w:t>
      </w:r>
      <w:r>
        <w:rPr>
          <w:rFonts w:ascii="Cambria" w:cs="Cambria" w:eastAsia="Cambria" w:hAnsi="Cambria"/>
          <w:color w:val="1F2937"/>
          <w:sz w:val="21"/>
          <w:szCs w:val="21"/>
        </w:rPr>
        <w:t xml:space="preserve"> as independent restaurants (9% vs 20%).</w:t>
      </w:r>
    </w:p>
    <w:p>
      <w:pPr>
        <w:pStyle w:val="ListParagraph"/>
        <w:numPr>
          <w:ilvl w:val="0"/>
          <w:numId w:val="2"/>
        </w:numPr>
        <w:spacing w:after="70" w:line="264"/>
      </w:pPr>
      <w:r>
        <w:rPr>
          <w:rFonts w:ascii="Cambria" w:cs="Cambria" w:eastAsia="Cambria" w:hAnsi="Cambria"/>
          <w:b/>
          <w:bCs/>
          <w:color w:val="1F2937"/>
          <w:sz w:val="21"/>
          <w:szCs w:val="21"/>
        </w:rPr>
        <w:t xml:space="preserve">Cuisine matters more than borough:</w:t>
      </w:r>
      <w:r>
        <w:rPr>
          <w:rFonts w:ascii="Cambria" w:cs="Cambria" w:eastAsia="Cambria" w:hAnsi="Cambria"/>
          <w:color w:val="1F2937"/>
          <w:sz w:val="21"/>
          <w:szCs w:val="21"/>
        </w:rPr>
        <w:t xml:space="preserve"> Caribbean 29%, Latin American 27% and Chinese 25% vs Donuts 5% and Hamburgers 6%; Queens 22% vs Staten Island 14%.</w:t>
      </w:r>
    </w:p>
    <w:p>
      <w:pPr>
        <w:pStyle w:val="ListParagraph"/>
        <w:numPr>
          <w:ilvl w:val="0"/>
          <w:numId w:val="2"/>
        </w:numPr>
        <w:spacing w:after="70" w:line="264"/>
      </w:pPr>
      <w:r>
        <w:rPr>
          <w:rFonts w:ascii="Cambria" w:cs="Cambria" w:eastAsia="Cambria" w:hAnsi="Cambria"/>
          <w:b/>
          <w:bCs/>
          <w:color w:val="1F2937"/>
          <w:sz w:val="21"/>
          <w:szCs w:val="21"/>
        </w:rPr>
        <w:t xml:space="preserve">Typical causes:</w:t>
      </w:r>
      <w:r>
        <w:rPr>
          <w:rFonts w:ascii="Cambria" w:cs="Cambria" w:eastAsia="Cambria" w:hAnsi="Cambria"/>
          <w:color w:val="1F2937"/>
          <w:sz w:val="21"/>
          <w:szCs w:val="21"/>
        </w:rPr>
        <w:t xml:space="preserve"> pest-friendly conditions appear in about two-thirds of serious failures, followed by food held at unsafe temperatures and evidence of mice or flies.</w:t>
      </w:r>
    </w:p>
    <w:p>
      <w:pPr>
        <w:pStyle w:val="ListParagraph"/>
        <w:numPr>
          <w:ilvl w:val="0"/>
          <w:numId w:val="2"/>
        </w:numPr>
        <w:spacing w:after="70" w:line="264"/>
      </w:pPr>
      <w:r>
        <w:rPr>
          <w:rFonts w:ascii="Cambria" w:cs="Cambria" w:eastAsia="Cambria" w:hAnsi="Cambria"/>
          <w:b/>
          <w:bCs/>
          <w:color w:val="1F2937"/>
          <w:sz w:val="21"/>
          <w:szCs w:val="21"/>
        </w:rPr>
        <w:t xml:space="preserve">Statistical tests:</w:t>
      </w:r>
      <w:r>
        <w:rPr>
          <w:rFonts w:ascii="Cambria" w:cs="Cambria" w:eastAsia="Cambria" w:hAnsi="Cambria"/>
          <w:color w:val="1F2937"/>
          <w:sz w:val="21"/>
          <w:szCs w:val="21"/>
        </w:rPr>
        <w:t xml:space="preserve"> chi-square and Mann-Whitney tests show every relationship is significant (p &lt; 0.001), but each is small to moderate on its own, so the model must combine several signals.</w:t>
      </w:r>
    </w:p>
    <w:p>
      <w:pPr>
        <w:spacing w:after="40" w:before="120"/>
        <w:jc w:val="center"/>
      </w:pPr>
      <w:r>
        <w:drawing>
          <wp:inline distT="0" distB="0" distL="0" distR="0">
            <wp:extent cx="5943600" cy="1807717"/>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07717"/>
                    </a:xfrm>
                    <a:prstGeom prst="rect">
                      <a:avLst/>
                    </a:prstGeom>
                  </pic:spPr>
                </pic:pic>
              </a:graphicData>
            </a:graphic>
          </wp:inline>
        </w:drawing>
      </w:r>
    </w:p>
    <w:p>
      <w:pPr>
        <w:spacing w:after="160"/>
        <w:jc w:val="center"/>
      </w:pPr>
      <w:r>
        <w:rPr>
          <w:rFonts w:ascii="Cambria" w:cs="Cambria" w:eastAsia="Cambria" w:hAnsi="Cambria"/>
          <w:i/>
          <w:iCs/>
          <w:color w:val="6B7280"/>
          <w:sz w:val="18"/>
          <w:szCs w:val="18"/>
        </w:rPr>
        <w:t xml:space="preserve">Figure 1. Failure rate at the next routine inspection, by track record (dashed line = average).</w:t>
      </w:r>
    </w:p>
    <w:p>
      <w:pPr>
        <w:spacing w:after="40" w:before="120"/>
        <w:jc w:val="center"/>
      </w:pPr>
      <w:r>
        <w:drawing>
          <wp:inline distT="0" distB="0" distL="0" distR="0">
            <wp:extent cx="5943600" cy="216281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162810"/>
                    </a:xfrm>
                    <a:prstGeom prst="rect">
                      <a:avLst/>
                    </a:prstGeom>
                  </pic:spPr>
                </pic:pic>
              </a:graphicData>
            </a:graphic>
          </wp:inline>
        </w:drawing>
      </w:r>
    </w:p>
    <w:p>
      <w:pPr>
        <w:spacing w:after="160"/>
        <w:jc w:val="center"/>
      </w:pPr>
      <w:r>
        <w:rPr>
          <w:rFonts w:ascii="Cambria" w:cs="Cambria" w:eastAsia="Cambria" w:hAnsi="Cambria"/>
          <w:i/>
          <w:iCs/>
          <w:color w:val="6B7280"/>
          <w:sz w:val="18"/>
          <w:szCs w:val="18"/>
        </w:rPr>
        <w:t xml:space="preserve">Figure 2. Serious failure rate by borough and cuisine.</w:t>
      </w:r>
    </w:p>
    <w:p>
      <w:pPr>
        <w:spacing w:after="40" w:before="120"/>
        <w:jc w:val="center"/>
      </w:pPr>
      <w:r>
        <w:drawing>
          <wp:inline distT="0" distB="0" distL="0" distR="0">
            <wp:extent cx="3840480" cy="328910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40480" cy="3289105"/>
                    </a:xfrm>
                    <a:prstGeom prst="rect">
                      <a:avLst/>
                    </a:prstGeom>
                  </pic:spPr>
                </pic:pic>
              </a:graphicData>
            </a:graphic>
          </wp:inline>
        </w:drawing>
      </w:r>
    </w:p>
    <w:p>
      <w:pPr>
        <w:spacing w:after="160"/>
        <w:jc w:val="center"/>
      </w:pPr>
      <w:r>
        <w:rPr>
          <w:rFonts w:ascii="Cambria" w:cs="Cambria" w:eastAsia="Cambria" w:hAnsi="Cambria"/>
          <w:i/>
          <w:iCs/>
          <w:color w:val="6B7280"/>
          <w:sz w:val="18"/>
          <w:szCs w:val="18"/>
        </w:rPr>
        <w:t xml:space="preserve">Figure 3. Serious failure rate across NYC (hexagons with 15+ inspections).</w:t>
      </w:r>
    </w:p>
    <w:p>
      <w:pPr>
        <w:pStyle w:val="Heading1"/>
        <w:spacing w:after="100" w:before="220"/>
      </w:pPr>
      <w:r>
        <w:rPr>
          <w:rFonts w:ascii="Cambria" w:cs="Cambria" w:eastAsia="Cambria" w:hAnsi="Cambria"/>
          <w:b/>
          <w:bCs/>
          <w:color w:val="1F3A5F"/>
          <w:sz w:val="25"/>
          <w:szCs w:val="25"/>
        </w:rPr>
        <w:t xml:space="preserve">4. Baseline Model</w:t>
      </w:r>
    </w:p>
    <w:p>
      <w:pPr>
        <w:spacing w:after="110" w:line="264"/>
      </w:pPr>
      <w:r>
        <w:rPr>
          <w:rFonts w:ascii="Cambria" w:cs="Cambria" w:eastAsia="Cambria" w:hAnsi="Cambria"/>
          <w:b/>
          <w:bCs/>
          <w:color w:val="1F2937"/>
          <w:sz w:val="21"/>
          <w:szCs w:val="21"/>
        </w:rPr>
        <w:t xml:space="preserve">Model: </w:t>
      </w:r>
      <w:r>
        <w:rPr>
          <w:rFonts w:ascii="Cambria" w:cs="Cambria" w:eastAsia="Cambria" w:hAnsi="Cambria"/>
          <w:color w:val="1F2937"/>
          <w:sz w:val="21"/>
          <w:szCs w:val="21"/>
        </w:rPr>
        <w:t xml:space="preserve">logistic regression with balanced class weights in a scikit-learn pipeline (median imputation with missing-value flags, scaling, one-hot encoding). Trained on January 2022 to April 2026 and tested on the most recent six months (April to October 2026, 9,226 inspections), so the model is always predicting the future.</w:t>
      </w:r>
    </w:p>
    <w:p>
      <w:pPr>
        <w:spacing w:after="110" w:line="264"/>
      </w:pPr>
      <w:r>
        <w:rPr>
          <w:rFonts w:ascii="Cambria" w:cs="Cambria" w:eastAsia="Cambria" w:hAnsi="Cambria"/>
          <w:b/>
          <w:bCs/>
          <w:color w:val="1F2937"/>
          <w:sz w:val="21"/>
          <w:szCs w:val="21"/>
        </w:rPr>
        <w:t xml:space="preserve">Evaluation metric: PR-AUC (average precision). </w:t>
      </w:r>
      <w:r>
        <w:rPr>
          <w:rFonts w:ascii="Cambria" w:cs="Cambria" w:eastAsia="Cambria" w:hAnsi="Cambria"/>
          <w:color w:val="1F2937"/>
          <w:sz w:val="21"/>
          <w:szCs w:val="21"/>
        </w:rPr>
        <w:t xml:space="preserve">Only about 1 in 5 inspections fails, so accuracy is misleading: always predicting “pass” is 79% accurate on the test period but catches no failures. Inspectors would work from a ranked list, and PR-AUC measures how well true failures rise to the top of that list. It is paired with the capture rate: the share of failures found when visiting the riskiest restaurants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300"/>
        <w:gridCol w:w="1300"/>
        <w:gridCol w:w="1600"/>
        <w:gridCol w:w="1600"/>
      </w:tblGrid>
      <w:tr>
        <w:trPr>
          <w:tblHeader/>
        </w:trPr>
        <w:tc>
          <w:tcPr>
            <w:tcW w:type="dxa" w:w="3560"/>
            <w:tcBorders>
              <w:top w:val="single" w:color="C9CED6" w:sz="4"/>
              <w:left w:val="single" w:color="C9CED6" w:sz="4"/>
              <w:bottom w:val="single" w:color="C9CED6" w:sz="4"/>
              <w:right w:val="single" w:color="C9CED6" w:sz="4"/>
            </w:tcBorders>
            <w:shd w:fill="E8EDF3" w:color="auto" w:val="clear"/>
            <w:tcMar>
              <w:top w:type="dxa" w:w="50"/>
              <w:left w:type="dxa" w:w="100"/>
              <w:bottom w:type="dxa" w:w="50"/>
              <w:right w:type="dxa" w:w="100"/>
            </w:tcMar>
          </w:tcPr>
          <w:p>
            <w:pPr>
              <w:jc w:val="left"/>
            </w:pPr>
            <w:r>
              <w:rPr>
                <w:rFonts w:ascii="Cambria" w:cs="Cambria" w:eastAsia="Cambria" w:hAnsi="Cambria"/>
                <w:b/>
                <w:bCs/>
                <w:color w:val="1F2937"/>
                <w:sz w:val="18"/>
                <w:szCs w:val="18"/>
              </w:rPr>
              <w:t xml:space="preserve">Approach</w:t>
            </w:r>
          </w:p>
        </w:tc>
        <w:tc>
          <w:tcPr>
            <w:tcW w:type="dxa" w:w="1300"/>
            <w:tcBorders>
              <w:top w:val="single" w:color="C9CED6" w:sz="4"/>
              <w:left w:val="single" w:color="C9CED6" w:sz="4"/>
              <w:bottom w:val="single" w:color="C9CED6" w:sz="4"/>
              <w:right w:val="single" w:color="C9CED6" w:sz="4"/>
            </w:tcBorders>
            <w:shd w:fill="E8EDF3" w:color="auto" w:val="clear"/>
            <w:tcMar>
              <w:top w:type="dxa" w:w="50"/>
              <w:left w:type="dxa" w:w="100"/>
              <w:bottom w:type="dxa" w:w="50"/>
              <w:right w:type="dxa" w:w="100"/>
            </w:tcMar>
          </w:tcPr>
          <w:p>
            <w:pPr>
              <w:jc w:val="center"/>
            </w:pPr>
            <w:r>
              <w:rPr>
                <w:rFonts w:ascii="Cambria" w:cs="Cambria" w:eastAsia="Cambria" w:hAnsi="Cambria"/>
                <w:b/>
                <w:bCs/>
                <w:color w:val="1F2937"/>
                <w:sz w:val="18"/>
                <w:szCs w:val="18"/>
              </w:rPr>
              <w:t xml:space="preserve">PR-AUC</w:t>
            </w:r>
          </w:p>
        </w:tc>
        <w:tc>
          <w:tcPr>
            <w:tcW w:type="dxa" w:w="1300"/>
            <w:tcBorders>
              <w:top w:val="single" w:color="C9CED6" w:sz="4"/>
              <w:left w:val="single" w:color="C9CED6" w:sz="4"/>
              <w:bottom w:val="single" w:color="C9CED6" w:sz="4"/>
              <w:right w:val="single" w:color="C9CED6" w:sz="4"/>
            </w:tcBorders>
            <w:shd w:fill="E8EDF3" w:color="auto" w:val="clear"/>
            <w:tcMar>
              <w:top w:type="dxa" w:w="50"/>
              <w:left w:type="dxa" w:w="100"/>
              <w:bottom w:type="dxa" w:w="50"/>
              <w:right w:type="dxa" w:w="100"/>
            </w:tcMar>
          </w:tcPr>
          <w:p>
            <w:pPr>
              <w:jc w:val="center"/>
            </w:pPr>
            <w:r>
              <w:rPr>
                <w:rFonts w:ascii="Cambria" w:cs="Cambria" w:eastAsia="Cambria" w:hAnsi="Cambria"/>
                <w:b/>
                <w:bCs/>
                <w:color w:val="1F2937"/>
                <w:sz w:val="18"/>
                <w:szCs w:val="18"/>
              </w:rPr>
              <w:t xml:space="preserve">ROC-AUC</w:t>
            </w:r>
          </w:p>
        </w:tc>
        <w:tc>
          <w:tcPr>
            <w:tcW w:type="dxa" w:w="1600"/>
            <w:tcBorders>
              <w:top w:val="single" w:color="C9CED6" w:sz="4"/>
              <w:left w:val="single" w:color="C9CED6" w:sz="4"/>
              <w:bottom w:val="single" w:color="C9CED6" w:sz="4"/>
              <w:right w:val="single" w:color="C9CED6" w:sz="4"/>
            </w:tcBorders>
            <w:shd w:fill="E8EDF3" w:color="auto" w:val="clear"/>
            <w:tcMar>
              <w:top w:type="dxa" w:w="50"/>
              <w:left w:type="dxa" w:w="100"/>
              <w:bottom w:type="dxa" w:w="50"/>
              <w:right w:type="dxa" w:w="100"/>
            </w:tcMar>
          </w:tcPr>
          <w:p>
            <w:pPr>
              <w:jc w:val="center"/>
            </w:pPr>
            <w:r>
              <w:rPr>
                <w:rFonts w:ascii="Cambria" w:cs="Cambria" w:eastAsia="Cambria" w:hAnsi="Cambria"/>
                <w:b/>
                <w:bCs/>
                <w:color w:val="1F2937"/>
                <w:sz w:val="18"/>
                <w:szCs w:val="18"/>
              </w:rPr>
              <w:t xml:space="preserve">Found in top 10%</w:t>
            </w:r>
          </w:p>
        </w:tc>
        <w:tc>
          <w:tcPr>
            <w:tcW w:type="dxa" w:w="1600"/>
            <w:tcBorders>
              <w:top w:val="single" w:color="C9CED6" w:sz="4"/>
              <w:left w:val="single" w:color="C9CED6" w:sz="4"/>
              <w:bottom w:val="single" w:color="C9CED6" w:sz="4"/>
              <w:right w:val="single" w:color="C9CED6" w:sz="4"/>
            </w:tcBorders>
            <w:shd w:fill="E8EDF3" w:color="auto" w:val="clear"/>
            <w:tcMar>
              <w:top w:type="dxa" w:w="50"/>
              <w:left w:type="dxa" w:w="100"/>
              <w:bottom w:type="dxa" w:w="50"/>
              <w:right w:type="dxa" w:w="100"/>
            </w:tcMar>
          </w:tcPr>
          <w:p>
            <w:pPr>
              <w:jc w:val="center"/>
            </w:pPr>
            <w:r>
              <w:rPr>
                <w:rFonts w:ascii="Cambria" w:cs="Cambria" w:eastAsia="Cambria" w:hAnsi="Cambria"/>
                <w:b/>
                <w:bCs/>
                <w:color w:val="1F2937"/>
                <w:sz w:val="18"/>
                <w:szCs w:val="18"/>
              </w:rPr>
              <w:t xml:space="preserve">Found in top 20%</w:t>
            </w:r>
          </w:p>
        </w:tc>
      </w:tr>
      <w:tr>
        <w:tc>
          <w:tcPr>
            <w:tcW w:type="dxa" w:w="3560"/>
            <w:tcBorders>
              <w:top w:val="single" w:color="C9CED6" w:sz="4"/>
              <w:left w:val="single" w:color="C9CED6" w:sz="4"/>
              <w:bottom w:val="single" w:color="C9CED6" w:sz="4"/>
              <w:right w:val="single" w:color="C9CED6" w:sz="4"/>
            </w:tcBorders>
            <w:tcMar>
              <w:top w:type="dxa" w:w="50"/>
              <w:left w:type="dxa" w:w="100"/>
              <w:bottom w:type="dxa" w:w="50"/>
              <w:right w:type="dxa" w:w="100"/>
            </w:tcMar>
          </w:tcPr>
          <w:p>
            <w:pPr>
              <w:jc w:val="left"/>
            </w:pPr>
            <w:r>
              <w:rPr>
                <w:rFonts w:ascii="Cambria" w:cs="Cambria" w:eastAsia="Cambria" w:hAnsi="Cambria"/>
                <w:b w:val="false"/>
                <w:bCs w:val="false"/>
                <w:color w:val="1F2937"/>
                <w:sz w:val="18"/>
                <w:szCs w:val="18"/>
              </w:rPr>
              <w:t xml:space="preserve">Do-nothing (random order)</w:t>
            </w:r>
          </w:p>
        </w:tc>
        <w:tc>
          <w:tcPr>
            <w:tcW w:type="dxa" w:w="1300"/>
            <w:tcBorders>
              <w:top w:val="single" w:color="C9CED6" w:sz="4"/>
              <w:left w:val="single" w:color="C9CED6" w:sz="4"/>
              <w:bottom w:val="single" w:color="C9CED6" w:sz="4"/>
              <w:right w:val="single" w:color="C9CED6" w:sz="4"/>
            </w:tcBorders>
            <w:tcMar>
              <w:top w:type="dxa" w:w="50"/>
              <w:left w:type="dxa" w:w="100"/>
              <w:bottom w:type="dxa" w:w="50"/>
              <w:right w:type="dxa" w:w="100"/>
            </w:tcMar>
          </w:tcPr>
          <w:p>
            <w:pPr>
              <w:jc w:val="center"/>
            </w:pPr>
            <w:r>
              <w:rPr>
                <w:rFonts w:ascii="Cambria" w:cs="Cambria" w:eastAsia="Cambria" w:hAnsi="Cambria"/>
                <w:b w:val="false"/>
                <w:bCs w:val="false"/>
                <w:color w:val="1F2937"/>
                <w:sz w:val="18"/>
                <w:szCs w:val="18"/>
              </w:rPr>
              <w:t xml:space="preserve">0.213</w:t>
            </w:r>
          </w:p>
        </w:tc>
        <w:tc>
          <w:tcPr>
            <w:tcW w:type="dxa" w:w="1300"/>
            <w:tcBorders>
              <w:top w:val="single" w:color="C9CED6" w:sz="4"/>
              <w:left w:val="single" w:color="C9CED6" w:sz="4"/>
              <w:bottom w:val="single" w:color="C9CED6" w:sz="4"/>
              <w:right w:val="single" w:color="C9CED6" w:sz="4"/>
            </w:tcBorders>
            <w:tcMar>
              <w:top w:type="dxa" w:w="50"/>
              <w:left w:type="dxa" w:w="100"/>
              <w:bottom w:type="dxa" w:w="50"/>
              <w:right w:type="dxa" w:w="100"/>
            </w:tcMar>
          </w:tcPr>
          <w:p>
            <w:pPr>
              <w:jc w:val="center"/>
            </w:pPr>
            <w:r>
              <w:rPr>
                <w:rFonts w:ascii="Cambria" w:cs="Cambria" w:eastAsia="Cambria" w:hAnsi="Cambria"/>
                <w:b w:val="false"/>
                <w:bCs w:val="false"/>
                <w:color w:val="1F2937"/>
                <w:sz w:val="18"/>
                <w:szCs w:val="18"/>
              </w:rPr>
              <w:t xml:space="preserve">0.50</w:t>
            </w:r>
          </w:p>
        </w:tc>
        <w:tc>
          <w:tcPr>
            <w:tcW w:type="dxa" w:w="1600"/>
            <w:tcBorders>
              <w:top w:val="single" w:color="C9CED6" w:sz="4"/>
              <w:left w:val="single" w:color="C9CED6" w:sz="4"/>
              <w:bottom w:val="single" w:color="C9CED6" w:sz="4"/>
              <w:right w:val="single" w:color="C9CED6" w:sz="4"/>
            </w:tcBorders>
            <w:tcMar>
              <w:top w:type="dxa" w:w="50"/>
              <w:left w:type="dxa" w:w="100"/>
              <w:bottom w:type="dxa" w:w="50"/>
              <w:right w:type="dxa" w:w="100"/>
            </w:tcMar>
          </w:tcPr>
          <w:p>
            <w:pPr>
              <w:jc w:val="center"/>
            </w:pPr>
            <w:r>
              <w:rPr>
                <w:rFonts w:ascii="Cambria" w:cs="Cambria" w:eastAsia="Cambria" w:hAnsi="Cambria"/>
                <w:b w:val="false"/>
                <w:bCs w:val="false"/>
                <w:color w:val="1F2937"/>
                <w:sz w:val="18"/>
                <w:szCs w:val="18"/>
              </w:rPr>
              <w:t xml:space="preserve">10%</w:t>
            </w:r>
          </w:p>
        </w:tc>
        <w:tc>
          <w:tcPr>
            <w:tcW w:type="dxa" w:w="1600"/>
            <w:tcBorders>
              <w:top w:val="single" w:color="C9CED6" w:sz="4"/>
              <w:left w:val="single" w:color="C9CED6" w:sz="4"/>
              <w:bottom w:val="single" w:color="C9CED6" w:sz="4"/>
              <w:right w:val="single" w:color="C9CED6" w:sz="4"/>
            </w:tcBorders>
            <w:tcMar>
              <w:top w:type="dxa" w:w="50"/>
              <w:left w:type="dxa" w:w="100"/>
              <w:bottom w:type="dxa" w:w="50"/>
              <w:right w:type="dxa" w:w="100"/>
            </w:tcMar>
          </w:tcPr>
          <w:p>
            <w:pPr>
              <w:jc w:val="center"/>
            </w:pPr>
            <w:r>
              <w:rPr>
                <w:rFonts w:ascii="Cambria" w:cs="Cambria" w:eastAsia="Cambria" w:hAnsi="Cambria"/>
                <w:b w:val="false"/>
                <w:bCs w:val="false"/>
                <w:color w:val="1F2937"/>
                <w:sz w:val="18"/>
                <w:szCs w:val="18"/>
              </w:rPr>
              <w:t xml:space="preserve">20%</w:t>
            </w:r>
          </w:p>
        </w:tc>
      </w:tr>
      <w:tr>
        <w:tc>
          <w:tcPr>
            <w:tcW w:type="dxa" w:w="3560"/>
            <w:tcBorders>
              <w:top w:val="single" w:color="C9CED6" w:sz="4"/>
              <w:left w:val="single" w:color="C9CED6" w:sz="4"/>
              <w:bottom w:val="single" w:color="C9CED6" w:sz="4"/>
              <w:right w:val="single" w:color="C9CED6" w:sz="4"/>
            </w:tcBorders>
            <w:tcMar>
              <w:top w:type="dxa" w:w="50"/>
              <w:left w:type="dxa" w:w="100"/>
              <w:bottom w:type="dxa" w:w="50"/>
              <w:right w:type="dxa" w:w="100"/>
            </w:tcMar>
          </w:tcPr>
          <w:p>
            <w:pPr>
              <w:jc w:val="left"/>
            </w:pPr>
            <w:r>
              <w:rPr>
                <w:rFonts w:ascii="Cambria" w:cs="Cambria" w:eastAsia="Cambria" w:hAnsi="Cambria"/>
                <w:b w:val="false"/>
                <w:bCs w:val="false"/>
                <w:color w:val="1F2937"/>
                <w:sz w:val="18"/>
                <w:szCs w:val="18"/>
              </w:rPr>
              <w:t xml:space="preserve">Rule of thumb (previous score)</w:t>
            </w:r>
          </w:p>
        </w:tc>
        <w:tc>
          <w:tcPr>
            <w:tcW w:type="dxa" w:w="1300"/>
            <w:tcBorders>
              <w:top w:val="single" w:color="C9CED6" w:sz="4"/>
              <w:left w:val="single" w:color="C9CED6" w:sz="4"/>
              <w:bottom w:val="single" w:color="C9CED6" w:sz="4"/>
              <w:right w:val="single" w:color="C9CED6" w:sz="4"/>
            </w:tcBorders>
            <w:tcMar>
              <w:top w:type="dxa" w:w="50"/>
              <w:left w:type="dxa" w:w="100"/>
              <w:bottom w:type="dxa" w:w="50"/>
              <w:right w:type="dxa" w:w="100"/>
            </w:tcMar>
          </w:tcPr>
          <w:p>
            <w:pPr>
              <w:jc w:val="center"/>
            </w:pPr>
            <w:r>
              <w:rPr>
                <w:rFonts w:ascii="Cambria" w:cs="Cambria" w:eastAsia="Cambria" w:hAnsi="Cambria"/>
                <w:b w:val="false"/>
                <w:bCs w:val="false"/>
                <w:color w:val="1F2937"/>
                <w:sz w:val="18"/>
                <w:szCs w:val="18"/>
              </w:rPr>
              <w:t xml:space="preserve">0.279</w:t>
            </w:r>
          </w:p>
        </w:tc>
        <w:tc>
          <w:tcPr>
            <w:tcW w:type="dxa" w:w="1300"/>
            <w:tcBorders>
              <w:top w:val="single" w:color="C9CED6" w:sz="4"/>
              <w:left w:val="single" w:color="C9CED6" w:sz="4"/>
              <w:bottom w:val="single" w:color="C9CED6" w:sz="4"/>
              <w:right w:val="single" w:color="C9CED6" w:sz="4"/>
            </w:tcBorders>
            <w:tcMar>
              <w:top w:type="dxa" w:w="50"/>
              <w:left w:type="dxa" w:w="100"/>
              <w:bottom w:type="dxa" w:w="50"/>
              <w:right w:type="dxa" w:w="100"/>
            </w:tcMar>
          </w:tcPr>
          <w:p>
            <w:pPr>
              <w:jc w:val="center"/>
            </w:pPr>
            <w:r>
              <w:rPr>
                <w:rFonts w:ascii="Cambria" w:cs="Cambria" w:eastAsia="Cambria" w:hAnsi="Cambria"/>
                <w:b w:val="false"/>
                <w:bCs w:val="false"/>
                <w:color w:val="1F2937"/>
                <w:sz w:val="18"/>
                <w:szCs w:val="18"/>
              </w:rPr>
              <w:t xml:space="preserve">0.57</w:t>
            </w:r>
          </w:p>
        </w:tc>
        <w:tc>
          <w:tcPr>
            <w:tcW w:type="dxa" w:w="1600"/>
            <w:tcBorders>
              <w:top w:val="single" w:color="C9CED6" w:sz="4"/>
              <w:left w:val="single" w:color="C9CED6" w:sz="4"/>
              <w:bottom w:val="single" w:color="C9CED6" w:sz="4"/>
              <w:right w:val="single" w:color="C9CED6" w:sz="4"/>
            </w:tcBorders>
            <w:tcMar>
              <w:top w:type="dxa" w:w="50"/>
              <w:left w:type="dxa" w:w="100"/>
              <w:bottom w:type="dxa" w:w="50"/>
              <w:right w:type="dxa" w:w="100"/>
            </w:tcMar>
          </w:tcPr>
          <w:p>
            <w:pPr>
              <w:jc w:val="center"/>
            </w:pPr>
            <w:r>
              <w:rPr>
                <w:rFonts w:ascii="Cambria" w:cs="Cambria" w:eastAsia="Cambria" w:hAnsi="Cambria"/>
                <w:b w:val="false"/>
                <w:bCs w:val="false"/>
                <w:color w:val="1F2937"/>
                <w:sz w:val="18"/>
                <w:szCs w:val="18"/>
              </w:rPr>
              <w:t xml:space="preserve">16%</w:t>
            </w:r>
          </w:p>
        </w:tc>
        <w:tc>
          <w:tcPr>
            <w:tcW w:type="dxa" w:w="1600"/>
            <w:tcBorders>
              <w:top w:val="single" w:color="C9CED6" w:sz="4"/>
              <w:left w:val="single" w:color="C9CED6" w:sz="4"/>
              <w:bottom w:val="single" w:color="C9CED6" w:sz="4"/>
              <w:right w:val="single" w:color="C9CED6" w:sz="4"/>
            </w:tcBorders>
            <w:tcMar>
              <w:top w:type="dxa" w:w="50"/>
              <w:left w:type="dxa" w:w="100"/>
              <w:bottom w:type="dxa" w:w="50"/>
              <w:right w:type="dxa" w:w="100"/>
            </w:tcMar>
          </w:tcPr>
          <w:p>
            <w:pPr>
              <w:jc w:val="center"/>
            </w:pPr>
            <w:r>
              <w:rPr>
                <w:rFonts w:ascii="Cambria" w:cs="Cambria" w:eastAsia="Cambria" w:hAnsi="Cambria"/>
                <w:b w:val="false"/>
                <w:bCs w:val="false"/>
                <w:color w:val="1F2937"/>
                <w:sz w:val="18"/>
                <w:szCs w:val="18"/>
              </w:rPr>
              <w:t xml:space="preserve">29%</w:t>
            </w:r>
          </w:p>
        </w:tc>
      </w:tr>
      <w:tr>
        <w:tc>
          <w:tcPr>
            <w:tcW w:type="dxa" w:w="3560"/>
            <w:tcBorders>
              <w:top w:val="single" w:color="C9CED6" w:sz="4"/>
              <w:left w:val="single" w:color="C9CED6" w:sz="4"/>
              <w:bottom w:val="single" w:color="C9CED6" w:sz="4"/>
              <w:right w:val="single" w:color="C9CED6" w:sz="4"/>
            </w:tcBorders>
            <w:tcMar>
              <w:top w:type="dxa" w:w="50"/>
              <w:left w:type="dxa" w:w="100"/>
              <w:bottom w:type="dxa" w:w="50"/>
              <w:right w:type="dxa" w:w="100"/>
            </w:tcMar>
          </w:tcPr>
          <w:p>
            <w:pPr>
              <w:jc w:val="left"/>
            </w:pPr>
            <w:r>
              <w:rPr>
                <w:rFonts w:ascii="Cambria" w:cs="Cambria" w:eastAsia="Cambria" w:hAnsi="Cambria"/>
                <w:b/>
                <w:bCs/>
                <w:color w:val="1F2937"/>
                <w:sz w:val="18"/>
                <w:szCs w:val="18"/>
              </w:rPr>
              <w:t xml:space="preserve">Logistic regression (baseline)</w:t>
            </w:r>
          </w:p>
        </w:tc>
        <w:tc>
          <w:tcPr>
            <w:tcW w:type="dxa" w:w="1300"/>
            <w:tcBorders>
              <w:top w:val="single" w:color="C9CED6" w:sz="4"/>
              <w:left w:val="single" w:color="C9CED6" w:sz="4"/>
              <w:bottom w:val="single" w:color="C9CED6" w:sz="4"/>
              <w:right w:val="single" w:color="C9CED6" w:sz="4"/>
            </w:tcBorders>
            <w:tcMar>
              <w:top w:type="dxa" w:w="50"/>
              <w:left w:type="dxa" w:w="100"/>
              <w:bottom w:type="dxa" w:w="50"/>
              <w:right w:type="dxa" w:w="100"/>
            </w:tcMar>
          </w:tcPr>
          <w:p>
            <w:pPr>
              <w:jc w:val="center"/>
            </w:pPr>
            <w:r>
              <w:rPr>
                <w:rFonts w:ascii="Cambria" w:cs="Cambria" w:eastAsia="Cambria" w:hAnsi="Cambria"/>
                <w:b/>
                <w:bCs/>
                <w:color w:val="1F2937"/>
                <w:sz w:val="18"/>
                <w:szCs w:val="18"/>
              </w:rPr>
              <w:t xml:space="preserve">0.355</w:t>
            </w:r>
          </w:p>
        </w:tc>
        <w:tc>
          <w:tcPr>
            <w:tcW w:type="dxa" w:w="1300"/>
            <w:tcBorders>
              <w:top w:val="single" w:color="C9CED6" w:sz="4"/>
              <w:left w:val="single" w:color="C9CED6" w:sz="4"/>
              <w:bottom w:val="single" w:color="C9CED6" w:sz="4"/>
              <w:right w:val="single" w:color="C9CED6" w:sz="4"/>
            </w:tcBorders>
            <w:tcMar>
              <w:top w:type="dxa" w:w="50"/>
              <w:left w:type="dxa" w:w="100"/>
              <w:bottom w:type="dxa" w:w="50"/>
              <w:right w:type="dxa" w:w="100"/>
            </w:tcMar>
          </w:tcPr>
          <w:p>
            <w:pPr>
              <w:jc w:val="center"/>
            </w:pPr>
            <w:r>
              <w:rPr>
                <w:rFonts w:ascii="Cambria" w:cs="Cambria" w:eastAsia="Cambria" w:hAnsi="Cambria"/>
                <w:b/>
                <w:bCs/>
                <w:color w:val="1F2937"/>
                <w:sz w:val="18"/>
                <w:szCs w:val="18"/>
              </w:rPr>
              <w:t xml:space="preserve">0.68</w:t>
            </w:r>
          </w:p>
        </w:tc>
        <w:tc>
          <w:tcPr>
            <w:tcW w:type="dxa" w:w="1600"/>
            <w:tcBorders>
              <w:top w:val="single" w:color="C9CED6" w:sz="4"/>
              <w:left w:val="single" w:color="C9CED6" w:sz="4"/>
              <w:bottom w:val="single" w:color="C9CED6" w:sz="4"/>
              <w:right w:val="single" w:color="C9CED6" w:sz="4"/>
            </w:tcBorders>
            <w:tcMar>
              <w:top w:type="dxa" w:w="50"/>
              <w:left w:type="dxa" w:w="100"/>
              <w:bottom w:type="dxa" w:w="50"/>
              <w:right w:type="dxa" w:w="100"/>
            </w:tcMar>
          </w:tcPr>
          <w:p>
            <w:pPr>
              <w:jc w:val="center"/>
            </w:pPr>
            <w:r>
              <w:rPr>
                <w:rFonts w:ascii="Cambria" w:cs="Cambria" w:eastAsia="Cambria" w:hAnsi="Cambria"/>
                <w:b/>
                <w:bCs/>
                <w:color w:val="1F2937"/>
                <w:sz w:val="18"/>
                <w:szCs w:val="18"/>
              </w:rPr>
              <w:t xml:space="preserve">20%</w:t>
            </w:r>
          </w:p>
        </w:tc>
        <w:tc>
          <w:tcPr>
            <w:tcW w:type="dxa" w:w="1600"/>
            <w:tcBorders>
              <w:top w:val="single" w:color="C9CED6" w:sz="4"/>
              <w:left w:val="single" w:color="C9CED6" w:sz="4"/>
              <w:bottom w:val="single" w:color="C9CED6" w:sz="4"/>
              <w:right w:val="single" w:color="C9CED6" w:sz="4"/>
            </w:tcBorders>
            <w:tcMar>
              <w:top w:type="dxa" w:w="50"/>
              <w:left w:type="dxa" w:w="100"/>
              <w:bottom w:type="dxa" w:w="50"/>
              <w:right w:type="dxa" w:w="100"/>
            </w:tcMar>
          </w:tcPr>
          <w:p>
            <w:pPr>
              <w:jc w:val="center"/>
            </w:pPr>
            <w:r>
              <w:rPr>
                <w:rFonts w:ascii="Cambria" w:cs="Cambria" w:eastAsia="Cambria" w:hAnsi="Cambria"/>
                <w:b/>
                <w:bCs/>
                <w:color w:val="1F2937"/>
                <w:sz w:val="18"/>
                <w:szCs w:val="18"/>
              </w:rPr>
              <w:t xml:space="preserve">35%</w:t>
            </w:r>
          </w:p>
        </w:tc>
      </w:tr>
    </w:tbl>
    <w:p>
      <w:pPr>
        <w:spacing w:after="110" w:before="140" w:line="264"/>
      </w:pPr>
      <w:r>
        <w:rPr>
          <w:rFonts w:ascii="Cambria" w:cs="Cambria" w:eastAsia="Cambria" w:hAnsi="Cambria"/>
          <w:b/>
          <w:bCs/>
          <w:color w:val="1F2937"/>
          <w:sz w:val="21"/>
          <w:szCs w:val="21"/>
        </w:rPr>
        <w:t xml:space="preserve">Interpretation: </w:t>
      </w:r>
      <w:r>
        <w:rPr>
          <w:rFonts w:ascii="Cambria" w:cs="Cambria" w:eastAsia="Cambria" w:hAnsi="Cambria"/>
          <w:color w:val="1F2937"/>
          <w:sz w:val="21"/>
          <w:szCs w:val="21"/>
        </w:rPr>
        <w:t xml:space="preserve">if inspectors visit the riskiest 10% of restaurants first, 43% of those visits uncover a serious failure, versus 21% at random: about twice the hit rate. Time-ordered cross-validation on the training period gives PR-AUC 0.297 ± 0.046, and the model beats both reference approaches in every one of the 5 folds, so the gain is consistent. The strongest risk factors are a poor inspection history, earlier pests and temperature problems, summer months and certain cuisines; larger chains and long clean records lower the risk.</w:t>
      </w:r>
    </w:p>
    <w:p>
      <w:pPr>
        <w:spacing w:after="40" w:before="120"/>
        <w:jc w:val="center"/>
      </w:pPr>
      <w:r>
        <w:drawing>
          <wp:inline distT="0" distB="0" distL="0" distR="0">
            <wp:extent cx="5943600" cy="216281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162810"/>
                    </a:xfrm>
                    <a:prstGeom prst="rect">
                      <a:avLst/>
                    </a:prstGeom>
                  </pic:spPr>
                </pic:pic>
              </a:graphicData>
            </a:graphic>
          </wp:inline>
        </w:drawing>
      </w:r>
    </w:p>
    <w:p>
      <w:pPr>
        <w:spacing w:after="160"/>
        <w:jc w:val="center"/>
      </w:pPr>
      <w:r>
        <w:rPr>
          <w:rFonts w:ascii="Cambria" w:cs="Cambria" w:eastAsia="Cambria" w:hAnsi="Cambria"/>
          <w:i/>
          <w:iCs/>
          <w:color w:val="6B7280"/>
          <w:sz w:val="18"/>
          <w:szCs w:val="18"/>
        </w:rPr>
        <w:t xml:space="preserve">Figure 4. Precision-recall and capture curves on the test period.</w:t>
      </w:r>
    </w:p>
    <w:p>
      <w:pPr>
        <w:pStyle w:val="Heading1"/>
        <w:spacing w:after="100" w:before="220"/>
      </w:pPr>
      <w:r>
        <w:rPr>
          <w:rFonts w:ascii="Cambria" w:cs="Cambria" w:eastAsia="Cambria" w:hAnsi="Cambria"/>
          <w:b/>
          <w:bCs/>
          <w:color w:val="1F3A5F"/>
          <w:sz w:val="25"/>
          <w:szCs w:val="25"/>
        </w:rPr>
        <w:t xml:space="preserve">5. Next Steps (Module 24)</w:t>
      </w:r>
    </w:p>
    <w:p>
      <w:pPr>
        <w:pStyle w:val="ListParagraph"/>
        <w:numPr>
          <w:ilvl w:val="0"/>
          <w:numId w:val="2"/>
        </w:numPr>
        <w:spacing w:after="70" w:line="264"/>
      </w:pPr>
      <w:r>
        <w:rPr>
          <w:rFonts w:ascii="Cambria" w:cs="Cambria" w:eastAsia="Cambria" w:hAnsi="Cambria"/>
          <w:color w:val="1F2937"/>
          <w:sz w:val="21"/>
          <w:szCs w:val="21"/>
        </w:rPr>
        <w:t xml:space="preserve">Compare k-nearest neighbors, decision tree, random forest and gradient boosting against this baseline, tuned with GridSearchCV and time-ordered cross-validation.</w:t>
      </w:r>
    </w:p>
    <w:p>
      <w:pPr>
        <w:pStyle w:val="ListParagraph"/>
        <w:numPr>
          <w:ilvl w:val="0"/>
          <w:numId w:val="2"/>
        </w:numPr>
        <w:spacing w:after="70" w:line="264"/>
      </w:pPr>
      <w:r>
        <w:rPr>
          <w:rFonts w:ascii="Cambria" w:cs="Cambria" w:eastAsia="Cambria" w:hAnsi="Cambria"/>
          <w:color w:val="1F2937"/>
          <w:sz w:val="21"/>
          <w:szCs w:val="21"/>
        </w:rPr>
        <w:t xml:space="preserve">Set the decision cut-off to match realistic inspector capacity.</w:t>
      </w:r>
    </w:p>
    <w:p>
      <w:pPr>
        <w:pStyle w:val="ListParagraph"/>
        <w:numPr>
          <w:ilvl w:val="0"/>
          <w:numId w:val="2"/>
        </w:numPr>
        <w:spacing w:after="70" w:line="264"/>
      </w:pPr>
      <w:r>
        <w:rPr>
          <w:rFonts w:ascii="Cambria" w:cs="Cambria" w:eastAsia="Cambria" w:hAnsi="Cambria"/>
          <w:color w:val="1F2937"/>
          <w:sz w:val="21"/>
          <w:szCs w:val="21"/>
        </w:rPr>
        <w:t xml:space="preserve">Add neighborhood failure history, nearby 311 rodent and food complaints, and score trends.</w:t>
      </w:r>
    </w:p>
    <w:p>
      <w:pPr>
        <w:pStyle w:val="ListParagraph"/>
        <w:numPr>
          <w:ilvl w:val="0"/>
          <w:numId w:val="2"/>
        </w:numPr>
        <w:spacing w:after="70" w:line="264"/>
      </w:pPr>
      <w:r>
        <w:rPr>
          <w:rFonts w:ascii="Cambria" w:cs="Cambria" w:eastAsia="Cambria" w:hAnsi="Cambria"/>
          <w:color w:val="1F2937"/>
          <w:sz w:val="21"/>
          <w:szCs w:val="21"/>
        </w:rPr>
        <w:t xml:space="preserve">Explain the final model and turn the results into plain-language recommendations for the Health Department.</w:t>
      </w:r>
    </w:p>
    <w:sectPr>
      <w:footerReference w:type="default" r:id="rId6"/>
      <w:pgSz w:w="12240" w:h="15840" w:orient="portrait"/>
      <w:pgMar w:top="120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B7280"/>
        <w:sz w:val="18"/>
        <w:szCs w:val="18"/>
      </w:rPr>
      <w:fldChar w:fldCharType="begin"/>
    </w:r>
    <w:r>
      <w:rPr>
        <w:rFonts w:ascii="Cambria" w:cs="Cambria" w:eastAsia="Cambria" w:hAnsi="Cambria"/>
        <w:color w:val="6B7280"/>
        <w:sz w:val="18"/>
        <w:szCs w:val="18"/>
      </w:rPr>
      <w:instrText xml:space="preserve">PAGE</w:instrText>
    </w:r>
    <w:r>
      <w:rPr>
        <w:rFonts w:ascii="Cambria" w:cs="Cambria" w:eastAsia="Cambria" w:hAnsi="Cambria"/>
        <w:color w:val="6B7280"/>
        <w:sz w:val="18"/>
        <w:szCs w:val="18"/>
      </w:rPr>
      <w:fldChar w:fldCharType="separate"/>
    </w:r>
    <w:r>
      <w:rPr>
        <w:rFonts w:ascii="Cambria" w:cs="Cambria" w:eastAsia="Cambria" w:hAnsi="Cambria"/>
        <w:color w:val="6B72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urbz6clydhcxvduj7h-bz" Type="http://schemas.openxmlformats.org/officeDocument/2006/relationships/hyperlink" Target="https://github.com/VyomR/nyc-food-safety-inspection-eda" TargetMode="External"/><Relationship Id="rIdtwtrqj-qntyz1d2kt9t7g" Type="http://schemas.openxmlformats.org/officeDocument/2006/relationships/hyperlink" Target="https://github.com/VyomR/nyc-food-safety-inspection-eda/blob/main/notebooks/01_data_cleaning_and_eda.ipynb" TargetMode="External"/><Relationship Id="rId_xjeiy8jf9u3gvdlvep5r" Type="http://schemas.openxmlformats.org/officeDocument/2006/relationships/hyperlink" Target="https://github.com/VyomR/nyc-food-safety-inspection-eda/blob/main/notebooks/02_baseline_model.ipynb" TargetMode="External"/><Relationship Id="rIdowwjmhotgus-ikz0l0avk" Type="http://schemas.openxmlformats.org/officeDocument/2006/relationships/hyperlink" Target="https://data.cityofnewyork.us/Health/DOHMH-New-York-City-Restaurant-Inspection-Results/43nn-pn8j" TargetMode="External"/><Relationship Id="rId12" Type="http://schemas.openxmlformats.org/officeDocument/2006/relationships/image" Target="media/51b7270bccfc5fbd8bb450620b28cf5f9e4009b2.png"/><Relationship Id="rId13" Type="http://schemas.openxmlformats.org/officeDocument/2006/relationships/image" Target="media/22cf4dd3d88479dea0da36961516821187340b2b.png"/><Relationship Id="rId14" Type="http://schemas.openxmlformats.org/officeDocument/2006/relationships/image" Target="media/20d0888ecd94b9b2cca549086bb4df12ee7b23d4.png"/><Relationship Id="rId15" Type="http://schemas.openxmlformats.org/officeDocument/2006/relationships/image" Target="media/dc19cdc51020981535cbbb282c6598640fce6c7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20.1: Summary of Findings</dc:title>
  <dc:creator>Vyom Rawat</dc:creator>
  <cp:lastModifiedBy>Un-named</cp:lastModifiedBy>
  <cp:revision>1</cp:revision>
  <dcterms:created xsi:type="dcterms:W3CDTF">2026-10-25T18:52:12.465Z</dcterms:created>
  <dcterms:modified xsi:type="dcterms:W3CDTF">2026-10-25T18:52:12.468Z</dcterms:modified>
</cp:coreProperties>
</file>

<file path=docProps/custom.xml><?xml version="1.0" encoding="utf-8"?>
<Properties xmlns="http://schemas.openxmlformats.org/officeDocument/2006/custom-properties" xmlns:vt="http://schemas.openxmlformats.org/officeDocument/2006/docPropsVTypes"/>
</file>