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EB"/>
          <w:sz w:val="34"/>
          <w:szCs w:val="34"/>
        </w:rPr>
        <w:t xml:space="preserve">Requirements Document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Navi-Gator — Condition-Aware Routing</w:t>
      </w:r>
    </w:p>
    <w:p>
      <w:pPr>
        <w:pBdr>
          <w:bottom w:val="single" w:color="1F6FEB" w:sz="12"/>
        </w:pBdr>
        <w:spacing w:after="140"/>
      </w:pPr>
    </w:p>
    <w:p>
      <w:pPr>
        <w:spacing w:after="8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Version 1.0  ·  Version Date: [DATE]  ·  Approvals: None required</w:t>
      </w:r>
    </w:p>
    <w:p>
      <w:pPr>
        <w:pStyle w:val="Heading2"/>
        <w:spacing w:after="100" w:before="220"/>
      </w:pPr>
      <w:r>
        <w:t xml:space="preserve">1. Purpose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records the User, Solution, and Compliance requirements for Navi-Gator, a web-based condition-aware routing application, in accordance with the course SDLC process. It is maintained throughout the life of the in-scope solution components.</w:t>
      </w:r>
    </w:p>
    <w:p>
      <w:pPr>
        <w:pStyle w:val="Heading2"/>
        <w:spacing w:after="100" w:before="220"/>
      </w:pPr>
      <w:r>
        <w:t xml:space="preserve">2. Scope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limited to the requirements for the Navi-Gator prototype. As a course project there are no production Configuration Items; the in-scope components are Location Determination, Imagery Access, Screenshot / Segment Capture, the Road Database, CNN Classification, Mapping Graph &amp; Routing, and the Web Front End.</w:t>
      </w:r>
    </w:p>
    <w:p>
      <w:pPr>
        <w:pStyle w:val="Heading3"/>
        <w:spacing w:after="100" w:before="220"/>
      </w:pPr>
      <w:r>
        <w:t xml:space="preserve">2.1 Exclusions, Assumptions, and Limitations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Exclusions: real-time traffic; a native mobile app; coverage beyond New Jersey; production hosting, authentication, and persistent user accounts.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Assumptions: NJGIN imagery and FHWA HPMS data remain publicly available; the team has a working Python environment; target routes are within NJ (initial focus: Camden County).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Limitations: NJGIN imagery currency is approximately 2020; Rutgers network IP addresses geolocate to New Brunswick/Piscataway; third-party free-tier quotas apply (e.g., MapBox 700k tiles/month) if used.</w:t>
      </w:r>
    </w:p>
    <w:p>
      <w:pPr>
        <w:pStyle w:val="Heading2"/>
        <w:spacing w:after="100" w:before="220"/>
      </w:pPr>
      <w:r>
        <w:t xml:space="preserve">3. Requirements</w:t>
      </w:r>
    </w:p>
    <w:p>
      <w:pPr>
        <w:spacing w:after="8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Each requirement has a unique identifier. The Scope column holds the release in which it was implemented (R1 = first release). RCR (Criticality), RC (Classification), and RRR (Risk Rating) follow the course Requirements Risk Assessment — values below are proposed and should be confirmed against the course's rating scale.</w:t>
      </w:r>
    </w:p>
    <w:p>
      <w:pPr>
        <w:pStyle w:val="Heading3"/>
        <w:spacing w:after="100" w:before="220"/>
      </w:pPr>
      <w:r>
        <w:t xml:space="preserve">3.1 User Requirements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60"/>
        <w:gridCol w:w="900"/>
        <w:gridCol w:w="1000"/>
        <w:gridCol w:w="1000"/>
        <w:gridCol w:w="120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Req#</w:t>
            </w:r>
          </w:p>
        </w:tc>
        <w:tc>
          <w:tcPr>
            <w:tcW w:type="dxa" w:w="43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 Description</w:t>
            </w:r>
          </w:p>
        </w:tc>
        <w:tc>
          <w:tcPr>
            <w:tcW w:type="dxa" w:w="9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0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RCR</w:t>
            </w:r>
          </w:p>
        </w:tc>
        <w:tc>
          <w:tcPr>
            <w:tcW w:type="dxa" w:w="10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RC</w:t>
            </w:r>
          </w:p>
        </w:tc>
        <w:tc>
          <w:tcPr>
            <w:tcW w:type="dxa" w:w="12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RRR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UR-1</w:t>
            </w:r>
          </w:p>
        </w:tc>
        <w:tc>
          <w:tcPr>
            <w:tcW w:type="dxa" w:w="4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driver, I can set my start location by IP detection or by entering an address, so routing begins from my position.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UR-2</w:t>
            </w:r>
          </w:p>
        </w:tc>
        <w:tc>
          <w:tcPr>
            <w:tcW w:type="dxa" w:w="4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driver, I can enter a destination and receive a computed route to it.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UR-3</w:t>
            </w:r>
          </w:p>
        </w:tc>
        <w:tc>
          <w:tcPr>
            <w:tcW w:type="dxa" w:w="4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driver, I can see the route and turn-by-turn directions on a map in my browser.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UR-4</w:t>
            </w:r>
          </w:p>
        </w:tc>
        <w:tc>
          <w:tcPr>
            <w:tcW w:type="dxa" w:w="4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driver, the suggested route accounts for road/terrain condition, not distance alone.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UR-5</w:t>
            </w:r>
          </w:p>
        </w:tc>
        <w:tc>
          <w:tcPr>
            <w:tcW w:type="dxa" w:w="4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driver, I can see road conditions on the map (e.g., color-coded), so I know which roads are rough before I drive them.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Usability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UR-6</w:t>
            </w:r>
          </w:p>
        </w:tc>
        <w:tc>
          <w:tcPr>
            <w:tcW w:type="dxa" w:w="4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driver, I am informed when my location cannot be determined accurately (e.g., campus IP) and can enter an address instead.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Usability</w:t>
            </w:r>
          </w:p>
        </w:tc>
        <w:tc>
          <w:tcPr>
            <w:tcW w:type="dxa" w:w="12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</w:tr>
    </w:tbl>
    <w:p>
      <w:pPr>
        <w:pStyle w:val="Heading3"/>
        <w:spacing w:after="100" w:before="220"/>
      </w:pPr>
      <w:r>
        <w:t xml:space="preserve">3.2 Solution Requirements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4360"/>
        <w:gridCol w:w="900"/>
        <w:gridCol w:w="1000"/>
        <w:gridCol w:w="1000"/>
        <w:gridCol w:w="1200"/>
      </w:tblGrid>
      <w:tr>
        <w:trPr>
          <w:tblHeader/>
        </w:trPr>
        <w:tc>
          <w:tcPr>
            <w:tcW w:type="dxa" w:w="9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Req#</w:t>
            </w:r>
          </w:p>
        </w:tc>
        <w:tc>
          <w:tcPr>
            <w:tcW w:type="dxa" w:w="43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 Description</w:t>
            </w:r>
          </w:p>
        </w:tc>
        <w:tc>
          <w:tcPr>
            <w:tcW w:type="dxa" w:w="9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0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RCR</w:t>
            </w:r>
          </w:p>
        </w:tc>
        <w:tc>
          <w:tcPr>
            <w:tcW w:type="dxa" w:w="10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RC</w:t>
            </w:r>
          </w:p>
        </w:tc>
        <w:tc>
          <w:tcPr>
            <w:tcW w:type="dxa" w:w="12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RRR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SR-1</w:t>
            </w:r>
          </w:p>
        </w:tc>
        <w:tc>
          <w:tcPr>
            <w:tcW w:type="dxa" w:w="4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determine latitude/longitude via geocoder (IP) and geopy/Nominatim or Geoapify (address).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SR-2</w:t>
            </w:r>
          </w:p>
        </w:tc>
        <w:tc>
          <w:tcPr>
            <w:tcW w:type="dxa" w:w="4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generate candidate paths between origin and destination (Geoapify routing provides the baseline route).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SR-3</w:t>
            </w:r>
          </w:p>
        </w:tc>
        <w:tc>
          <w:tcPr>
            <w:tcW w:type="dxa" w:w="4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acquire aerial imagery along candidate paths from NJGIN (primary source; MapBox fallback only).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SR-4</w:t>
            </w:r>
          </w:p>
        </w:tc>
        <w:tc>
          <w:tcPr>
            <w:tcW w:type="dxa" w:w="4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capture road-segment images at regular intervals along each candidate path (screenshot system).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SR-5</w:t>
            </w:r>
          </w:p>
        </w:tc>
        <w:tc>
          <w:tcPr>
            <w:tcW w:type="dxa" w:w="4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store roads and segments (each with a photo_file reference) per the County to Sector to Road to Segments schema. The image/file storage approach (in-database vs external file/object storage) is under evaluation.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SR-6</w:t>
            </w:r>
          </w:p>
        </w:tc>
        <w:tc>
          <w:tcPr>
            <w:tcW w:type="dxa" w:w="4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classify each road segment's condition using a convolutional neural network (CNN).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SR-7</w:t>
            </w:r>
          </w:p>
        </w:tc>
        <w:tc>
          <w:tcPr>
            <w:tcW w:type="dxa" w:w="4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convert each segment's classification into a road score / graph edge weight.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SR-8</w:t>
            </w:r>
          </w:p>
        </w:tc>
        <w:tc>
          <w:tcPr>
            <w:tcW w:type="dxa" w:w="4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compute the shortest condition-aware path over the weighted road graph.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SR-9</w:t>
            </w:r>
          </w:p>
        </w:tc>
        <w:tc>
          <w:tcPr>
            <w:tcW w:type="dxa" w:w="4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render the route (with stitched satellite imagery), road conditions, and directions to a Leaflet / OpenStreetMap web front end.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SR-10</w:t>
            </w:r>
          </w:p>
        </w:tc>
        <w:tc>
          <w:tcPr>
            <w:tcW w:type="dxa" w:w="4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load road network segments from the FHWA HPMS GeoPackage.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SR-11</w:t>
            </w:r>
          </w:p>
        </w:tc>
        <w:tc>
          <w:tcPr>
            <w:tcW w:type="dxa" w:w="4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keep API keys and tokens out of source control (stored in a git-ignored .env).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SR-12</w:t>
            </w:r>
          </w:p>
        </w:tc>
        <w:tc>
          <w:tcPr>
            <w:tcW w:type="dxa" w:w="4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serve route and imagery data to the web front end on demand from its own stored data, so it does not depend on a live third-party routing API.</w:t>
            </w:r>
          </w:p>
        </w:tc>
        <w:tc>
          <w:tcPr>
            <w:tcW w:type="dxa" w:w="9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2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</w:tbl>
    <w:p>
      <w:pPr>
        <w:pStyle w:val="Heading3"/>
        <w:spacing w:after="100" w:before="220"/>
      </w:pPr>
      <w:r>
        <w:t xml:space="preserve">3.3 Compliance Requirements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 Applicable. As a course prototype, Navi-Gator is subject to no regulatory (e.g., GMP, HIPAA) compliance requirements. It uses publicly available government/open data (NJGIN, FHWA HPMS) and third-party services under their standard free-tier terms; the team will observe those usage terms and licenses.</w:t>
      </w:r>
    </w:p>
    <w:p>
      <w:pPr>
        <w:pStyle w:val="Heading2"/>
        <w:spacing w:after="100" w:before="220"/>
      </w:pPr>
      <w:r>
        <w:t xml:space="preserve">4. Roles and Responsibilities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9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Responsibilities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Vyrareth — defines and prioritizes requirements; accepts completed items</w:t>
            </w:r>
          </w:p>
        </w:tc>
      </w:tr>
      <w:tr>
        <w:tc>
          <w:tcPr>
            <w:tcW w:type="dxa" w:w="24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69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Edgar, Don — facilitate process; remove blockers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Developers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Cristofer, Nitin, Vyrareth, Edgar, Don — implement and verify requirements</w:t>
            </w:r>
          </w:p>
        </w:tc>
      </w:tr>
    </w:tbl>
    <w:p>
      <w:pPr>
        <w:pStyle w:val="Heading2"/>
        <w:spacing w:after="100" w:before="220"/>
      </w:pPr>
      <w:r>
        <w:t xml:space="preserve">5. Terms and Definitions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 or Acronym</w:t>
            </w:r>
          </w:p>
        </w:tc>
        <w:tc>
          <w:tcPr>
            <w:tcW w:type="dxa" w:w="65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CNN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Convolutional Neural Network used to classify road-segment images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HPMS</w:t>
            </w:r>
          </w:p>
        </w:tc>
        <w:tc>
          <w:tcPr>
            <w:tcW w:type="dxa" w:w="65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Highway Performance Monitoring System (FHWA) road network data</w:t>
            </w:r>
          </w:p>
        </w:tc>
      </w:tr>
      <w:tr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NJGIN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 Jersey Geographic Information Network — aerial imagery source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Geoapify</w:t>
            </w:r>
          </w:p>
        </w:tc>
        <w:tc>
          <w:tcPr>
            <w:tcW w:type="dxa" w:w="65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Geocoding and routing API used by the frontend prototype</w:t>
            </w:r>
          </w:p>
        </w:tc>
      </w:tr>
      <w:tr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Leaflet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JavaScript library for the interactive map front end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Edge weight / Road score</w:t>
            </w:r>
          </w:p>
        </w:tc>
        <w:tc>
          <w:tcPr>
            <w:tcW w:type="dxa" w:w="65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Cost assigned to a road in the routing graph, derived from CNN condition</w:t>
            </w:r>
          </w:p>
        </w:tc>
      </w:tr>
      <w:tr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Segment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spaced piece of a road carrying a photo_file for classification</w:t>
            </w:r>
          </w:p>
        </w:tc>
      </w:tr>
    </w:tbl>
    <w:p>
      <w:pPr>
        <w:pStyle w:val="Heading2"/>
        <w:spacing w:after="100" w:before="220"/>
      </w:pPr>
      <w:r>
        <w:t xml:space="preserve">6. Supporting References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Identifier</w:t>
            </w:r>
          </w:p>
        </w:tc>
        <w:tc>
          <w:tcPr>
            <w:tcW w:type="dxa" w:w="77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REF-1</w:t>
            </w:r>
          </w:p>
        </w:tc>
        <w:tc>
          <w:tcPr>
            <w:tcW w:type="dxa" w:w="7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NJGIN Open Data Imagery — https://njgin.nj.gov/njgin/edata/imagery/</w:t>
            </w:r>
          </w:p>
        </w:tc>
      </w:tr>
      <w:tr>
        <w:tc>
          <w:tcPr>
            <w:tcW w:type="dxa" w:w="16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REF-2</w:t>
            </w:r>
          </w:p>
        </w:tc>
        <w:tc>
          <w:tcPr>
            <w:tcW w:type="dxa" w:w="77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FHWA Highway Performance Monitoring System — https://www.fhwa.dot.gov/policyinformation/hpms.cfm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REF-3</w:t>
            </w:r>
          </w:p>
        </w:tc>
        <w:tc>
          <w:tcPr>
            <w:tcW w:type="dxa" w:w="7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Geoapify Routing/Geocoding API — https://www.geoapify.com</w:t>
            </w:r>
          </w:p>
        </w:tc>
      </w:tr>
      <w:tr>
        <w:tc>
          <w:tcPr>
            <w:tcW w:type="dxa" w:w="16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REF-4</w:t>
            </w:r>
          </w:p>
        </w:tc>
        <w:tc>
          <w:tcPr>
            <w:tcW w:type="dxa" w:w="77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Leaflet / OpenStreetMap</w:t>
            </w:r>
          </w:p>
        </w:tc>
      </w:tr>
    </w:tbl>
    <w:p>
      <w:pPr>
        <w:pStyle w:val="Heading2"/>
        <w:spacing w:after="100" w:before="220"/>
      </w:pPr>
      <w:r>
        <w:t xml:space="preserve">7. Revision History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2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 Date</w:t>
            </w:r>
          </w:p>
        </w:tc>
        <w:tc>
          <w:tcPr>
            <w:tcW w:type="dxa" w:w="57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Revisions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[DATE]</w:t>
            </w:r>
          </w:p>
        </w:tc>
        <w:tc>
          <w:tcPr>
            <w:tcW w:type="dxa" w:w="5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Initial Release</w:t>
            </w:r>
          </w:p>
        </w:tc>
      </w:tr>
    </w:tbl>
    <w:p>
      <w:pPr>
        <w:spacing w:before="200"/>
      </w:pPr>
      <w:r>
        <w:rPr>
          <w:i/>
          <w:iCs/>
          <w:color w:val="777777"/>
          <w:sz w:val="16"/>
          <w:szCs w:val="16"/>
        </w:rPr>
        <w:t xml:space="preserve">Note (delete before submitting): paste this content into the official 02 - Requirements.docx template to keep the exact course formatting, remove blue instructional text, confirm the RCR/RC/RRR values against your course's scale, and add each contributor's name to the sections they completed.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2026-10-03T04:57:24.709Z</dcterms:created>
  <dcterms:modified xsi:type="dcterms:W3CDTF">2026-10-03T04:57:24.718Z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