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25,6 mln. EUR (+19 %, mūsų skaičiavimas),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213,29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mūsų skaičiavimas),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ir Euribor:</w:t>
      </w:r>
      <w:r>
        <w:rPr>
          <w:b w:val="0"/>
        </w:rPr>
        <w:t xml:space="preserve"> III ketv. pelnas 9,1 mln. EUR (+30 % per metus) dėl didesnių paskolų apimčių, geros portfelio kokybės ir kylančio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grynųjų palūkanų marža 3,2 % (prieš metus 3,0 %)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ir rizika:</w:t>
      </w:r>
      <w:r>
        <w:rPr>
          <w:b w:val="0"/>
        </w:rPr>
        <w:t xml:space="preserve"> finansavimo kaina 2,1 % (2,3 %), indėliai +131 mln. EUR per ketvirtį; vertės sumažėjimas 0,4 mln. EUR, pradelstos paskolos 2 % (2,3 %)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Tikslai:</w:t>
      </w:r>
      <w:r>
        <w:rPr>
          <w:b w:val="0"/>
        </w:rPr>
        <w:t xml:space="preserve"> iki 2030 m. – daugiau nei 60 mln. EUR metinio pelno ir augti sparčiau nei Estijos bankų rinka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