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Inbank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7.5%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EE3300002286  ·  7,5 %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5.5% subordinated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EE3300002302  ·  5,5 % · 2031-12-15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 pusm. pelnas 8,3 mln. EUR (+2 %), ROE 9,6 %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Kapitalas viršija reikalavimus: CET1 13,15 % (reikalaujama 9,85 %), bendras kapitalas 18,38 % (14,66 %)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8,3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2,5 %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9,6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13,15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0,12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18,38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1,07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stabilus:</w:t>
      </w:r>
      <w:r>
        <w:rPr>
          <w:b w:val="0"/>
        </w:rPr>
        <w:t xml:space="preserve"> I pusm. grynasis pelnas 8,3 mln. EUR (8,1 mln.), II ketv. – 4,3 mln. EUR (3,6 mln.); ROE 9,6 %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su atsarga:</w:t>
      </w:r>
      <w:r>
        <w:rPr>
          <w:b w:val="0"/>
        </w:rPr>
        <w:t xml:space="preserve"> CET1 13,15 %, bendras kapitalas 18,38 %, sverto rodiklis 10,83 %; birželį išleista nauja 8,34 mln. EUR AT1 emisija (8,25 %)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Didelis likvidumas:</w:t>
      </w:r>
      <w:r>
        <w:rPr>
          <w:b w:val="0"/>
        </w:rPr>
        <w:t xml:space="preserve"> LCR 1 161 %, NSFR 133 %; indėliai 1 320 mln. EUR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Nauja kryptis:</w:t>
      </w:r>
      <w:r>
        <w:rPr>
          <w:b w:val="0"/>
        </w:rPr>
        <w:t xml:space="preserve"> su Eurobank kuriama 50/50 įmonė Graikijoje (licencijavimas vyksta, pradžia – 2027 m. I ketv.)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EE3300002286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7.5%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coupons may be cancelled at Inbank's discretion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EE3300002302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5.5% subordinated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2031-12-15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(Tier 2 capital)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55,9 %*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54,3 %*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9,6 %*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0,06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1 155,1*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1 280*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1 320*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1 171,4*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1 301,1*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1 233,4*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1 320,0*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171,0*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155,7*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176,2*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14,13 %*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13,03 %*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13,15 %*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0,12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18,81 %*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17,31 %*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18,38 %*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1,07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10,71 %*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9,75 %*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10,83 %*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1,08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135,74 %*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133,03 %*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2,27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2,4 %ᶜ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0,1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bank_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Paskolų ir nuomos portfelis 1,32 mlrd. EUR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 Rizikos kaina 1,54 % – vartojimo finansavimo bankui įprasta ir, pasak vadovybės, tikslo ribose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Žaliasis finansavimas II ketv. – 28,4 mln. EUR (−23 %); 2025 m. – 146 mln. EUR (+65 %)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Vėluojančių &gt;90 d. privačių paskolų dalis – 2,4 % (mūsų skaičiavimas)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19,2 mln. EUR, ROE 12,3 %, sąnaudų / pajamų santykis 54,4 %, rizikos kaina 1,59 %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Dividendai už 2025 m. – 0,40 EUR akcijai (4,8 mln. EUR)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Plėtra Graikijoje per bendrą įmonę su Eurobank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Sutartis 2026-07; licencijavimas vyksta, pradžia – 2027 m. I ketv.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Paskolų nuostoliai – tikslo ribose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II ketv. rizikos kaina 1,54 % – tikslo ribose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subordinuota 5,5 % obligacija 2031-12-15 (15 mln. EUR) ir AT1 7,5 % neterminuota (4,5 mln. EUR). AT1 kuponus Inbank gali savo nuožiūra atidėti ar atšaukti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Savininko sąraše nurodyta 2031-12-28 data AT1 obligacijai ataskaitoje nepatvirtinta: ji neterminuota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Kapitalo atsarga:</w:t>
      </w:r>
      <w:r>
        <w:rPr>
          <w:b w:val="0"/>
        </w:rPr>
        <w:t xml:space="preserve"> bendras kapitalas 18,38 %, kai reikalaujama 14,66 %; CET1 13,15 % (9,85 %)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Reitingo nėra.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pelnas stabilus, kapitalas ir likvidumas su atsarga. Subordinuotoms priemonėms svarbiausia – kapitalo atsarga virš reikalavimų.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Spaudimas maržoms:</w:t>
      </w:r>
      <w:r>
        <w:rPr>
          <w:b w:val="0"/>
        </w:rPr>
        <w:t xml:space="preserve"> portfelio pajamingumas 10,55 % (prieš metus 11,24 %) dėl kintamų palūkanų perkainojimo ir išankstinių grąžinimų Lenkijoje; finansavimo kaina sumažėjo iki 3,64 % (4,06 %)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Apimtys rekordinės:</w:t>
      </w:r>
      <w:r>
        <w:rPr>
          <w:b w:val="0"/>
        </w:rPr>
        <w:t xml:space="preserve"> suteikta 221 mln. EUR (+13 %), grynosios pajamos 22,0 mln. EUR (+6 %); vertės sumažėjimas 1,54 % – tikslinėse ribose, nes makroaplinka stabili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vadovybė mato maržų gerėjimo ženklų; bendra įmonė su Eurobank Graikijoje turėtų pradėti veiklą 2027 m. I ketv. (laukiama leidimų)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Išankstinis išpirkimas:</w:t>
      </w:r>
      <w:r>
        <w:rPr>
          <w:b w:val="0"/>
        </w:rPr>
        <w:t xml:space="preserve"> 2026-09-28 Inbank paskelbė pranešimą apie obligacijų išankstinį išpirkimą (su įrašų fiksavimo ir išpirkimo dienomis); kuri emisija – antraštėje nenurodyta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Lenkija:</w:t>
      </w:r>
      <w:r>
        <w:rPr>
          <w:b w:val="0"/>
        </w:rPr>
        <w:t xml:space="preserve"> 2026-09-30 Inbank paskelbė savo poziciją dėl Lenkijos vartotojų apsaugos tarnybos (UOKiK) sprendimo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2026-07-25 – 2026-10-23: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Inbanki seisukoht UOKiK otsuse kohta Poolas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Inbanki võlakirjade ennetähtaegse lunastamise (sh nimekirja fikseerimise päeva ja lunastamispäeva) teade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Vartojimo ir pirkinių finansavimas, automobilių lizingas – veiklos išskirtuose sektoriuose nėra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Finantsinspektsioon nurodymai: 2023 m. Inbank AS – ištaisyti valdymo, atitikties ir rizikos valdymo trūkumus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2025-10 Inbank Finance – ištaisyti vartojimo kreditų vertinimo taisykles iki 2025 m. gruodžio vidurio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Baudų neskirta.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nerasta, išskyrus aukščiau minėtus priežiūros nurodymus ir 2026-09-30 Inbank paskelbtą poziciją dėl Lenkijos vartotojų apsaugos tarnybos (UOKiK) sprendimo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2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„Inbanki seisukoht UOKiK otsuse kohta Poolas“ (GlobeNewswire, 2026-09-30).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(saulės elektrinės, elektromobiliai ir kt.) 2025 m. – 146 mln. EUR, +65 %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finansavimo produktai prisideda prie Paryžiaus tikslų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Atskiro klimato neutralumo tikslo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Rimtų geltonų signalų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Priežiūros nurodymai be baudų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 bei aplinkosaugos ir socialinė / žmogaus teisių politikos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Veiklos išskirtuose sektoriuose nėra, augantis žaliasis finansavimas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tikslai ir finansuojamos emisijos viešai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bankas pelningas, kapitalas su atsarga.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– 146 mln. EUR 2025 m.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II ketv. – 28,4 mln. EUR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Žaliasis finansavimas auga; buvo priežiūros nurodymų dėl valdymo ir kreditų vertinimo (be baudų).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Inbank - Interim report Q2 2026, p. 5,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Inbank - Capital adequacy and risk disclosure Q2 2026, p. 2-3,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3-4,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Inbank - Interim report Q2 2026, p. 5,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Inbank - Capital adequacy and risk disclosure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Inbank - Interim report Q2 2026, p. 8,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2">
        <w:r>
          <w:rPr>
            <w:color w:val="2A78D6"/>
            <w:sz w:val="17"/>
          </w:rPr>
          <w:t xml:space="preserve">Inbank - Interim report Q2 2026, p. 5,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Inbank publishes audited annual report for 2025, p. -,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Inbank - Interim report Q2 2026, p.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Inbank - Investors (core financial figures), p. -,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Inbank - Interim report Q2 2026, p. 20,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7">
        <w:r>
          <w:rPr>
            <w:color w:val="2A78D6"/>
            <w:sz w:val="17"/>
          </w:rPr>
          <w:t xml:space="preserve">Inbank publishes audited annual report for 2025,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Inbank - Interim report Q2 2026, p. 11,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Inbank - Interim report Q2 2026, p.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Inbank - Interim report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GlobeNewswire – Inbanki võlakirjade ennetähtaegse lunastamise (sh nimekirja fikseerimise päeva ja lunastamispäeva) teade,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GlobeNewswire – Inbanki seisukoht UOKiK otsuse kohta Poolas,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Finantsinspektsioon issued a precept to Inbank AS, 2023-10-19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Finantsinspektsioon issued a precept to AS Inbank Finance, 2025-10-14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Inbank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b-cdn.inbank.eu/documents/ee/en/pdf/reports/Inbank_Interim_Report_2026_Q2.pdf#page=5" TargetMode="External"/><Relationship Id="rId13" Type="http://schemas.openxmlformats.org/officeDocument/2006/relationships/hyperlink" Target="https://ib-cdn.inbank.eu/documents/ee/en/pdf/Inbank_Risk_Disclosure_2026_Q2.pdf#page=2" TargetMode="External"/><Relationship Id="rId14" Type="http://schemas.openxmlformats.org/officeDocument/2006/relationships/hyperlink" Target="https://ib-cdn.inbank.eu/documents/ee/en/pdf/Inbank_Risk_Disclosure_2026_Q2.pdf#page=3" TargetMode="External"/><Relationship Id="rId15" Type="http://schemas.openxmlformats.org/officeDocument/2006/relationships/hyperlink" Target="https://ib-cdn.inbank.eu/documents/ee/en/pdf/Inbank_Risk_Disclosure_2026_Q2.pdf#page=4" TargetMode="External"/><Relationship Id="rId16" Type="http://schemas.openxmlformats.org/officeDocument/2006/relationships/hyperlink" Target="https://ib-cdn.inbank.eu/documents/ee/en/pdf/reports/Inbank_Interim_Report_2026_Q2.pdf#page=8" TargetMode="External"/><Relationship Id="rId17" Type="http://schemas.openxmlformats.org/officeDocument/2006/relationships/hyperlink" Target="https://inbank.eu/news/inbank-publishes-audited-annual-report-for-2025" TargetMode="External"/><Relationship Id="rId18" Type="http://schemas.openxmlformats.org/officeDocument/2006/relationships/hyperlink" Target="https://ib-cdn.inbank.eu/documents/ee/en/pdf/reports/Inbank_Interim_Report_2026_Q2.pdf#page=9" TargetMode="External"/><Relationship Id="rId19" Type="http://schemas.openxmlformats.org/officeDocument/2006/relationships/hyperlink" Target="https://inbank.eu/investors/" TargetMode="External"/><Relationship Id="rId20" Type="http://schemas.openxmlformats.org/officeDocument/2006/relationships/hyperlink" Target="https://ib-cdn.inbank.eu/documents/ee/en/pdf/reports/Inbank_Interim_Report_2026_Q2.pdf#page=20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ib-cdn.inbank.eu/documents/ee/en/pdf/reports/Inbank_Interim_Report_2026_Q2.pdf#page=11" TargetMode="External"/><Relationship Id="rId23" Type="http://schemas.openxmlformats.org/officeDocument/2006/relationships/hyperlink" Target="https://ib-cdn.inbank.eu/documents/ee/en/pdf/reports/Inbank_Interim_Report_2026_Q2.pdf#page=26" TargetMode="External"/><Relationship Id="rId24" Type="http://schemas.openxmlformats.org/officeDocument/2006/relationships/hyperlink" Target="https://ib-cdn.inbank.eu/documents/ee/en/pdf/reports/Inbank_Interim_Report_2026_Q2.pdf#page=4" TargetMode="External"/><Relationship Id="rId25" Type="http://schemas.openxmlformats.org/officeDocument/2006/relationships/hyperlink" Target="https://news.google.com/rss/articles/CBMinwJBVV95cUxQLWxsUzZPQ1dScUFIdGFQRFZkQy1RbkJjQmRJTHU3SnVrY3IxYzFBWVR1cnlCeW1PSTB2aEtWeGU4Mm5TWk9HcWZ0WDBUTmd1WDFzTG10TWJIOXJjZ1lyUmpORkNrbGFuXzFfT0ljN01sdUJnck5ER2VuTnVraFRRR29mblVmV1gxWmd1ck9ka2FUc25PWFdKRXhrYVBWRHNFQXJmeGtDV3dSZlByUGNZSUxETWlObTZackY3OUY2Vk9icmZ4djdZaDMxZ1U5c2lwNEZGWWlGdkFkVnFKSWNrSWdtT0NLRnhmb1Zvam5XSE9kVDJEQ0NjMVdyM2RjR0ljVzJqRnBEVW1pdFd1NDRoMmZobnc2bmVMcVRUMlhKTQ?oc=5" TargetMode="External"/><Relationship Id="rId26" Type="http://schemas.openxmlformats.org/officeDocument/2006/relationships/hyperlink" Target="https://news.google.com/rss/articles/CBMitgFBVV95cUxPNngtRHdrOHB3UF9SeW90LXBOd25zWXl5LW8xdU1scTRfQ1dsMUtLTTlORzBSTU43bGtVM1FlOVJxSjVfTzFWcXFvZFc5V3JPZmExVnlZSHQwa0dWN0FHZVU5Q0RpRXBBTmRIRkIwV1JNczBjdlpDWjN1UWlVZk5ncjM2STV1MXIzRHZVSDh0TGo1eGR3VU1aaHVPdEtqNDlYcG51aU96MENDNFR2UE9ybFE0bWVhQQ?oc=5" TargetMode="External"/><Relationship Id="rId27" Type="http://schemas.openxmlformats.org/officeDocument/2006/relationships/hyperlink" Target="https://fi.ee/en/news/finantsinspektsioon-issued-precept-inbank" TargetMode="External"/><Relationship Id="rId28" Type="http://schemas.openxmlformats.org/officeDocument/2006/relationships/hyperlink" Target="https://fi.ee/en/news/finantsinspektsioon-issued-precept-inbank-finance" TargetMode="External"/><Relationship Id="rId29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