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9M2026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LHV Group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Bank holding (LHV Pank Estonia, LHV Bank UK, asset management, insurance)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Moody's: LHV Group senior unsecured Baa2 (positive outlook); LHV Pank deposits A3 (positive), updated 2025-09-01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October 2026 monthly results - 2026-11-17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5.375% senior notes 2028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XS2822574245  ·  5.375% · 2028-05-24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5.5% Tier 2 2035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XS3153067288  ·  5.5% · 2035-09-16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6.0% Tier 2 2034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EE3300004993  ·  6.0% · 2034-11-15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senior FRN 2027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XS2693753704  ·  2027-10-03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9.5% AT1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XS3042781024  ·  9.5%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4.125% senior notes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XS3090105829  ·  4.125% · 2029-06-18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Q3 profit was a record EUR 37.5m (EUR 26.3m a year ago), and the bank says it will meet its financial plan targets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The capital buffer has narrowed: total capital is 20.25% against an internal target of 20.0%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This matters most for the Tier 2 and AT1 bonds held.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81.91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5.0 %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14.0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2.1 p. p.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ratio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15.28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1.76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capital ratio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20.25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3.05 p. p. vs 9M2025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Strong third quarter:</w:t>
      </w:r>
      <w:r>
        <w:rPr>
          <w:b w:val="0"/>
        </w:rPr>
        <w:t xml:space="preserve"> net profit EUR 37.5m (EUR 26.3m a year ago), ROE 19.3%. Nine-month profit EUR 81.9m, slightly below last year (EUR 86.2m)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On track for the plan:</w:t>
      </w:r>
      <w:r>
        <w:rPr>
          <w:b w:val="0"/>
        </w:rPr>
        <w:t xml:space="preserve"> management says Q3 results were "firmly ahead of our financial plans" and the year's targets will be met. The 2026 plan is EUR 117.9m net profit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Smaller capital buffer:</w:t>
      </w:r>
      <w:r>
        <w:rPr>
          <w:b w:val="0"/>
        </w:rPr>
        <w:t xml:space="preserve"> total capital 20.25% (YE2025 22.39%), CET1 15.28% (17.04%). The internal target is 20.0%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Liquidity and MREL with headroom:</w:t>
      </w:r>
      <w:r>
        <w:rPr>
          <w:b w:val="0"/>
        </w:rPr>
        <w:t xml:space="preserve"> LCR 173.9%, MREL 35.04% of TREA versus a 24.59% requirement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Loans growing:</w:t>
      </w:r>
      <w:r>
        <w:rPr>
          <w:b w:val="0"/>
        </w:rPr>
        <w:t xml:space="preserve"> loans to customers EUR 5,951m (+8.9% since YE2025; own calculation), deposits EUR 7,735m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XS2822574245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5.375% senior notes 2028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5.375%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2028-05-24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company); callable 2027-05-24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XS3153067288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5.5% Tier 2 2035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2035-09-16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Tier 2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EE3300004993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6.0% Tier 2 2034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6.0%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2034-11-15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Tier 2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XS2693753704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senior FRN 2027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2027-10-03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company), floating rate; coupon not found in public sources read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XS3042781024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9.5% AT1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perpetual; call date not found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XS3090105829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4.125% senior notes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4.125%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2029-06-18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company); callable 2028-06-18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150.3*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117.0*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86.23*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81.91*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5.0 %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273.3*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235.1*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175.18*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190.57*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8.8 %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338.3*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304.8*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225.95*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232.69*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57.0%*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5.3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14.0%*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2.1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margin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2.51%*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0.06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4,552*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5,465.4*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5,234.3*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5,951.0*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13.7 %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6,910*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8,134.4*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7,452.9*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7,735.3*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3.8 %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16.89%*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17.04%*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15.28%*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1.76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20.68%*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22.39%*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20.25%*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3.05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Leverage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6.71%*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0.29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of TREA)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33.24%*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34.73%*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35.04%*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0.31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187.5%*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173.9%*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11.1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154.4%*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156.8%*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2.4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1.2%ᶜ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hv_e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Nine-month net interest income EUR 190.6m (+8.8%), total income EUR 232.7m (+3.0%; changes are own calculation). Q3 net interest margin 2.80% (2.36% a year ago)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Nine-month cost/income 57.0% (51.7% a year ago). EUR 8.9m of provisions were released in Q3, so loan losses had no negative impact</w:t>
      </w:r>
      <w:hyperlink r:id="rId16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LHV Bank (UK) is behind plan:</w:t>
      </w:r>
      <w:r>
        <w:rPr>
          <w:b w:val="0"/>
        </w:rPr>
        <w:t xml:space="preserve"> profit before tax GBP 4.7m versus GBP 7.2m planned; GBP 10m of CET1 capital injected in September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Stage 3 (non-performing) loans EUR 72.4m, about 1.2% of loans (own calculation)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net profit EUR 117.0m (2024:</w:t>
      </w:r>
      <w:r>
        <w:rPr>
          <w:b w:val="0"/>
        </w:rPr>
        <w:t xml:space="preserve"> 150.3m), ROE 16.0% (24.5%): lower interest rates reduced interest income. The bank missed its 2025 targets, with profitability 6.5% short</w:t>
      </w:r>
      <w:hyperlink r:id="rId1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Year-end 2025 capital ratios were restated after an ECB inspection: CET1 17.04% (annual report: 17.42%), total capital 22.39% (22.85%). The ECB imposed a EUR 0.4m penalty for wrongly calculated risk-weighted assets related to the investment in the UK entity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Dividends:</w:t>
      </w:r>
      <w:r>
        <w:rPr>
          <w:b w:val="0"/>
        </w:rPr>
        <w:t xml:space="preserve"> EUR 57.9m paid in 9M 2026; dividend per share for 2025 EUR 0.09 (2024: EUR 0.13)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financial plan: EUR 117.9m net profit, ROE 15.0%, total capital 20.9%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9M: EUR 81.9m profit, ROE 14.0%; management expects to meet the targets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progress: Q3 results are ahead of plan thanks to higher interest income and provision releases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b w:val="0"/>
                <w:sz w:val="17"/>
              </w:rPr>
              <w:t>. Capital (20.25%) is currently below the 20.9% plan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financial plan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Missed: profitability 6.5% below plan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Missed: interest rates fell faster than expected and net interest income dropped from EUR 273.3m to 235.1m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Not 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More than double net profit by 2030 (plan for 2030: EUR 290.2m), ROE target 20%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Long-term target; 2026 progress in line with plan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target announced in the 2025 annual report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 policy: dividends including taxes 25% of pre-tax profit, without hurting capital targets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For 2025: EUR 0.09 per share; 2026 plan: EUR 0.08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26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Paid in line with the policy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 (all issued by LHV Group, the holding company):</w:t>
      </w:r>
      <w:r>
        <w:rPr>
          <w:b w:val="0"/>
        </w:rPr>
        <w:t xml:space="preserve"> three senior unsecured bonds, 5.375% 2028 (call 2027-05-24, EUR 300m), 4.125% 2029 (call 2028-06-18, EUR 60m) and an FRN due 2027-10-03 (EUR 100m); two Tier 2, 6.0% 2034 (EUR 20m) and 5.5% 2035 (EUR 80m); and a 9.5% perpetual AT1 (EUR 50m)</w:t>
      </w:r>
      <w:hyperlink r:id="rId30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Rating:</w:t>
      </w:r>
      <w:r>
        <w:rPr>
          <w:b w:val="0"/>
        </w:rPr>
        <w:t xml:space="preserve"> Moody's rates LHV Group senior unsecured debt Baa2 with a positive outlook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For subordinated bonds:</w:t>
      </w:r>
      <w:r>
        <w:rPr>
          <w:b w:val="0"/>
        </w:rPr>
        <w:t xml:space="preserve"> total capital of 20.25% is only slightly above the internal 20.0% target, while MREL of 35.04% is above the 30.59% level that gates dividends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AT1 coupons are therefore more sensitive to capital than the senior bonds.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2026 funding:</w:t>
      </w:r>
      <w:r>
        <w:rPr>
          <w:b w:val="0"/>
        </w:rPr>
        <w:t xml:space="preserve"> a new EUR 200m 4.50% senior bond (2030) and a EUR 15m 8.0% AT1 were issued; the EUR 20m 7.0% bond EE3300003250 was redeemed early</w:t>
      </w:r>
      <w:hyperlink r:id="rId31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profitability is recovering and the plan is on track; liquidity and MREL have headroom. The capital buffer is smaller, but the bank stays within its internal target.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Higher rates, higher income:</w:t>
      </w:r>
      <w:r>
        <w:rPr>
          <w:b w:val="0"/>
        </w:rPr>
        <w:t xml:space="preserve"> Q3 net interest income EUR 68.8m (+24% y/y); management says income exceeds the budget thanks to higher-than-expected market rates and strong loan demand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Rate environment:</w:t>
      </w:r>
      <w:r>
        <w:rPr>
          <w:b w:val="0"/>
        </w:rPr>
        <w:t xml:space="preserve"> the ECB raised the deposit rate to 2.50%, 6-month Euribor rose to 3.0% by end-September and 12-month to about 3.3%</w:t>
      </w:r>
      <w:hyperlink r:id="rId33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b w:val="0"/>
        </w:rPr>
        <w:t>. Estonian inflation accelerated to 3.5% in September</w:t>
      </w:r>
      <w:hyperlink r:id="rId34">
        <w:r>
          <w:rPr>
            <w:color w:val="2A78D6"/>
            <w:vertAlign w:val="superscript"/>
            <w:sz w:val="17"/>
          </w:rPr>
          <w:t xml:space="preserve">32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management is confident of meeting its financial plan, with key indicators ahead of plan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3.43%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EE), 2026-07-25 – 2026-10-23: 11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INTERVJUU ⟩ Coop Panga juht: me oleme rõõmsad LHVst tulevate töötajate ja klientide üle</w:t>
              </w:r>
            </w:hyperlink>
            <w:r>
              <w:rPr>
                <w:b w:val="0"/>
                <w:color w:val="667085"/>
                <w:sz w:val="15"/>
              </w:rPr>
              <w:t xml:space="preserve">   Majandus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LHV juhatuse liige: ettevõtjad mängivad ellujäämise mängu. “Ärge kartke Rain Lõhmust!”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LHV Groupi 2026. aasta III kvartali ja 9 kuu auditeerimata majandustulemused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2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AS LHV Group 2026. aasta III kvartali majandustulemuste tutvustamise veebiseminar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Kuhu investeeriti LHV Kasvukontoga III kvartalis 2026?</w:t>
              </w:r>
            </w:hyperlink>
            <w:r>
              <w:rPr>
                <w:b w:val="0"/>
                <w:color w:val="667085"/>
                <w:sz w:val="15"/>
              </w:rPr>
              <w:t xml:space="preserve">   LHV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LHV Groupi 20. oktoobri investorkohtumise salvestus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LHV Bank Limited tegevjuhiks nimetati Damian Thompson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2">
              <w:r>
                <w:rPr>
                  <w:color w:val="1B2430"/>
                  <w:sz w:val="18"/>
                </w:rPr>
                <w:t xml:space="preserve">Mis aktsiaid ostsid ja müüsid LHV kliendid septembris?</w:t>
              </w:r>
            </w:hyperlink>
            <w:r>
              <w:rPr>
                <w:b w:val="0"/>
                <w:color w:val="667085"/>
                <w:sz w:val="15"/>
              </w:rPr>
              <w:t xml:space="preserve">   LHV Finantsportaal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bank is not active in excluded sectors.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It publishes a list of activities that go against its credit policy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credit policy rules out lending to customers with clear evidence of human rights violations or serious environmental harm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 (quick search,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only supervisory penalty is a EUR 0.4m ECB fine over risk-weighted asset calculation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about LHV found (search in Estonian and English,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main case has LHV as the claimant: in July 2025 the bank notified the Financial Intelligence Unit of its intent to claim a EUR 247.5m contractual penalty, because the unit accessed LHV client account statements 1,289 times without legal basis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11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Sustainable products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Energy-efficient home loans, EV leasing, apartment renovation and energy project loans, the EIF sustainable loan programme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Targets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 least 50% of new mortgages for A and B energy class housing, 100% renewable electricity by 2030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financing of new diesel passenger cars from 2030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Aims to contribute to the Paris Agreement goals and the transition to a climate-neutral economy by 2050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asset ratio 4.86%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SEB sector policy for banks, so the Investments policy and the Environmental and Social &amp; Human Rights policies apply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Activity exclusion list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Human rights and environmental criteria in the credit policy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Human rights risk assessment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targets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policy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(PCAF) are not disclosed as figures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bank is profitable, liquidity and MREL have headroom and ESG practice is in order.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Own Scope 1 emissions 0 t CO2e, Scope 3 573,454 t CO2e in 2025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43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asset ratio 4.86%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Women on the Group management and supervisory boards 30%</w:t>
            </w:r>
            <w:hyperlink r:id="rId53">
              <w:r>
                <w:rPr>
                  <w:color w:val="2A78D6"/>
                  <w:vertAlign w:val="superscript"/>
                  <w:sz w:val="15"/>
                </w:rPr>
                <w:t xml:space="preserve">44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Sustainable products and clear climate targets; financed emissions are not yet disclosed as figures.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LHV Group - Credit rating,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LHV Group - Interim report January-September 2026,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LHV Group - Interim report January-September 2026, p. 10-11,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LHV Group - Financial forecasts (financial plan 2026),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5">
        <w:r>
          <w:rPr>
            <w:color w:val="2A78D6"/>
            <w:sz w:val="17"/>
          </w:rPr>
          <w:t xml:space="preserve">LHV Group - Interim report January-September 2026, p. 10,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19,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LHV Group - Consolidated annual report 2025,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LHV Group - Consolidated annual report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LHV Group - Consolidated annual report 2025,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1">
        <w:r>
          <w:rPr>
            <w:color w:val="2A78D6"/>
            <w:sz w:val="17"/>
          </w:rPr>
          <w:t xml:space="preserve">LHV Group - Interim report January-September 2026, p. 19,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LHV Group - Interim report January-September 2026, p. 11,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LHV Group - Interim report January-September 2026, p. 2,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LHV Group - Interim report January-September 2026, p. 12,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18,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LHV Group - Interim report January-September 2026, p. 15,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9">
        <w:r>
          <w:rPr>
            <w:color w:val="2A78D6"/>
            <w:sz w:val="17"/>
          </w:rPr>
          <w:t xml:space="preserve">LHV Group - Consolidated annual report 2025, p. 8, 14-15,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7">
        <w:r>
          <w:rPr>
            <w:color w:val="2A78D6"/>
            <w:sz w:val="17"/>
          </w:rPr>
          <w:t xml:space="preserve">LHV Group - Consolidated annual report 2025,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LHV Group - Interim report January-September 2026, p. 20,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6, 18,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19">
        <w:r>
          <w:rPr>
            <w:color w:val="2A78D6"/>
            <w:sz w:val="17"/>
          </w:rPr>
          <w:t xml:space="preserve">LHV Group - Consolidated annual report 2025, p. 8,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9">
        <w:r>
          <w:rPr>
            <w:color w:val="2A78D6"/>
            <w:sz w:val="17"/>
          </w:rPr>
          <w:t xml:space="preserve">LHV Group - Consolidated annual report 2025, p. 7,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9">
        <w:r>
          <w:rPr>
            <w:color w:val="2A78D6"/>
            <w:sz w:val="17"/>
          </w:rPr>
          <w:t xml:space="preserve">LHV Group - Consolidated annual report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0">
        <w:r>
          <w:rPr>
            <w:color w:val="2A78D6"/>
            <w:sz w:val="17"/>
          </w:rPr>
          <w:t xml:space="preserve">LHV Group - Consolidated annual report 2025, p. 15, 18, 26-27,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20">
        <w:r>
          <w:rPr>
            <w:color w:val="2A78D6"/>
            <w:sz w:val="17"/>
          </w:rPr>
          <w:t xml:space="preserve">LHV Group - Consolidated annual report 2025, p. 15,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0">
        <w:r>
          <w:rPr>
            <w:color w:val="2A78D6"/>
            <w:sz w:val="17"/>
          </w:rPr>
          <w:t xml:space="preserve">LHV Group - Consolidated annual report 2025,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1">
        <w:r>
          <w:rPr>
            <w:color w:val="2A78D6"/>
            <w:sz w:val="17"/>
          </w:rPr>
          <w:t xml:space="preserve">LHV Group - Senior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2">
        <w:r>
          <w:rPr>
            <w:color w:val="2A78D6"/>
            <w:sz w:val="17"/>
          </w:rPr>
          <w:t xml:space="preserve">LHV Group - Subordinated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3">
        <w:r>
          <w:rPr>
            <w:color w:val="2A78D6"/>
            <w:sz w:val="17"/>
          </w:rPr>
          <w:t xml:space="preserve">LHV Group - Interim report January-September 2026, p. 7,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4">
        <w:r>
          <w:rPr>
            <w:color w:val="2A78D6"/>
            <w:sz w:val="17"/>
          </w:rPr>
          <w:t xml:space="preserve">LHV Group - Interim report January-September 2026, p. 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3">
        <w:r>
          <w:rPr>
            <w:color w:val="2A78D6"/>
            <w:sz w:val="17"/>
          </w:rPr>
          <w:t xml:space="preserve">LHV - ESG,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4">
        <w:r>
          <w:rPr>
            <w:color w:val="2A78D6"/>
            <w:sz w:val="17"/>
          </w:rPr>
          <w:t xml:space="preserve">LHV Group - Annual sustainability report 2025, p. 80,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5">
        <w:r>
          <w:rPr>
            <w:color w:val="2A78D6"/>
            <w:sz w:val="17"/>
          </w:rPr>
          <w:t xml:space="preserve">ERR - LHV nõuab rahapesu andmebüroolt pangasaladuse asjas 247 miljonit, 2025-07-25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6">
        <w:r>
          <w:rPr>
            <w:color w:val="2A78D6"/>
            <w:sz w:val="17"/>
          </w:rPr>
          <w:t xml:space="preserve">LHV Group - Annual sustainability report 2025, p. 97,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7">
        <w:r>
          <w:rPr>
            <w:color w:val="2A78D6"/>
            <w:sz w:val="17"/>
          </w:rPr>
          <w:t xml:space="preserve">LHV Group - Annual sustainability report 2025, p. 81,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44">
        <w:r>
          <w:rPr>
            <w:color w:val="2A78D6"/>
            <w:sz w:val="17"/>
          </w:rPr>
          <w:t xml:space="preserve">LHV Group - Annual sustainability report 2025, p. 80, 86,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48">
        <w:r>
          <w:rPr>
            <w:color w:val="2A78D6"/>
            <w:sz w:val="17"/>
          </w:rPr>
          <w:t xml:space="preserve">LHV Group - Annual sustainability report 2025, p. 95,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40.</w:t>
        <w:tab/>
      </w:r>
      <w:hyperlink r:id="rId49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41.</w:t>
        <w:tab/>
      </w:r>
      <w:hyperlink r:id="rId50">
        <w:r>
          <w:rPr>
            <w:color w:val="2A78D6"/>
            <w:sz w:val="17"/>
          </w:rPr>
          <w:t xml:space="preserve">LHV Group - Annual sustainability report 2025, p. 90,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42.</w:t>
        <w:tab/>
      </w:r>
      <w:hyperlink r:id="rId51">
        <w:r>
          <w:rPr>
            <w:color w:val="2A78D6"/>
            <w:sz w:val="17"/>
          </w:rPr>
          <w:t xml:space="preserve">LHV Group - Annual sustainability report 2025, p. 88,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43.</w:t>
        <w:tab/>
      </w:r>
      <w:hyperlink r:id="rId52">
        <w:r>
          <w:rPr>
            <w:color w:val="2A78D6"/>
            <w:sz w:val="17"/>
          </w:rPr>
          <w:t xml:space="preserve">LHV Group - Annual sustainability report 2025, p. 98,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44.</w:t>
        <w:tab/>
      </w:r>
      <w:hyperlink r:id="rId53">
        <w:r>
          <w:rPr>
            <w:color w:val="2A78D6"/>
            <w:sz w:val="17"/>
          </w:rPr>
          <w:t xml:space="preserve">LHV Group - Annual sustainability report 2025, p. 85,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LHV Group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LHV Group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LHV Group</w:t>
    </w:r>
    <w:r>
      <w:rPr>
        <w:b w:val="0"/>
        <w:color w:val="667085"/>
        <w:sz w:val="16"/>
      </w:rPr>
      <w:tab/>
      <w:t>Issuer review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.lhv.ee/en/credit-rating" TargetMode="External"/><Relationship Id="rId13" Type="http://schemas.openxmlformats.org/officeDocument/2006/relationships/hyperlink" Target="https://www.lhv.ee/assets/files/investor/LHV_Group_Interim_Report_2026-Q3_EN.pdf" TargetMode="External"/><Relationship Id="rId14" Type="http://schemas.openxmlformats.org/officeDocument/2006/relationships/hyperlink" Target="https://www.lhv.ee/assets/files/investor/LHV_Group_Interim_Report_2026-Q3_EN.pdf#page=4" TargetMode="External"/><Relationship Id="rId15" Type="http://schemas.openxmlformats.org/officeDocument/2006/relationships/hyperlink" Target="https://www.lhv.ee/assets/files/investor/LHV_Group_Interim_Report_2026-Q3_EN.pdf#page=10" TargetMode="External"/><Relationship Id="rId16" Type="http://schemas.openxmlformats.org/officeDocument/2006/relationships/hyperlink" Target="https://www.lhv.ee/assets/files/investor/LHV_Group_Interim_Report_2026-Q3_EN.pdf#page=6" TargetMode="External"/><Relationship Id="rId17" Type="http://schemas.openxmlformats.org/officeDocument/2006/relationships/hyperlink" Target="https://investor.lhv.ee/en/financial-forecasts" TargetMode="External"/><Relationship Id="rId18" Type="http://schemas.openxmlformats.org/officeDocument/2006/relationships/hyperlink" Target="https://www.lhv.ee/assets/files/investor/LHV_Group_Annual_Report_2025-EN.pdf#page=14" TargetMode="External"/><Relationship Id="rId19" Type="http://schemas.openxmlformats.org/officeDocument/2006/relationships/hyperlink" Target="https://www.lhv.ee/assets/files/investor/LHV_Group_Annual_Report_2025-EN.pdf#page=8" TargetMode="External"/><Relationship Id="rId20" Type="http://schemas.openxmlformats.org/officeDocument/2006/relationships/hyperlink" Target="https://www.lhv.ee/assets/files/investor/LHV_Group_Annual_Report_2025-EN.pdf#page=15" TargetMode="External"/><Relationship Id="rId21" Type="http://schemas.openxmlformats.org/officeDocument/2006/relationships/hyperlink" Target="https://www.lhv.ee/assets/files/investor/LHV_Group_Interim_Report_2026-Q3_EN.pdf#page=19" TargetMode="External"/><Relationship Id="rId22" Type="http://schemas.openxmlformats.org/officeDocument/2006/relationships/hyperlink" Target="https://www.lhv.ee/assets/files/investor/LHV_Group_Interim_Report_2026-Q3_EN.pdf#page=11" TargetMode="External"/><Relationship Id="rId23" Type="http://schemas.openxmlformats.org/officeDocument/2006/relationships/hyperlink" Target="https://www.lhv.ee/assets/files/investor/LHV_Group_Interim_Report_2026-Q3_EN.pdf#page=2" TargetMode="External"/><Relationship Id="rId24" Type="http://schemas.openxmlformats.org/officeDocument/2006/relationships/hyperlink" Target="https://www.lhv.ee/assets/files/investor/LHV_Group_Interim_Report_2026-Q3_EN.pdf#page=12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www.lhv.ee/assets/files/investor/LHV_Group_Interim_Report_2026-Q3_EN.pdf#page=15" TargetMode="External"/><Relationship Id="rId27" Type="http://schemas.openxmlformats.org/officeDocument/2006/relationships/hyperlink" Target="https://www.lhv.ee/assets/files/investor/LHV_Group_Annual_Report_2025-EN.pdf#page=13" TargetMode="External"/><Relationship Id="rId28" Type="http://schemas.openxmlformats.org/officeDocument/2006/relationships/hyperlink" Target="https://www.lhv.ee/assets/files/investor/LHV_Group_Interim_Report_2026-Q3_EN.pdf#page=20" TargetMode="External"/><Relationship Id="rId29" Type="http://schemas.openxmlformats.org/officeDocument/2006/relationships/hyperlink" Target="https://www.lhv.ee/assets/files/investor/LHV_Group_Annual_Report_2025-EN.pdf#page=7" TargetMode="External"/><Relationship Id="rId30" Type="http://schemas.openxmlformats.org/officeDocument/2006/relationships/hyperlink" Target="https://www.lhv.ee/assets/files/investor/LHV_Group_Annual_Report_2025-EN.pdf#page=17" TargetMode="External"/><Relationship Id="rId31" Type="http://schemas.openxmlformats.org/officeDocument/2006/relationships/hyperlink" Target="https://investor.lhv.ee/en/senior-bonds" TargetMode="External"/><Relationship Id="rId32" Type="http://schemas.openxmlformats.org/officeDocument/2006/relationships/hyperlink" Target="https://investor.lhv.ee/en/subordinated-bonds" TargetMode="External"/><Relationship Id="rId33" Type="http://schemas.openxmlformats.org/officeDocument/2006/relationships/hyperlink" Target="https://www.lhv.ee/assets/files/investor/LHV_Group_Interim_Report_2026-Q3_EN.pdf#page=7" TargetMode="External"/><Relationship Id="rId34" Type="http://schemas.openxmlformats.org/officeDocument/2006/relationships/hyperlink" Target="https://www.lhv.ee/assets/files/investor/LHV_Group_Interim_Report_2026-Q3_EN.pdf#page=8" TargetMode="External"/><Relationship Id="rId35" Type="http://schemas.openxmlformats.org/officeDocument/2006/relationships/hyperlink" Target="https://news.google.com/rss/articles/CBMivwFBVV95cUxONm9VeVpXVHYxSXd2Wlh0andtUlRRZ2E2bGl2ZUFOMjdRR2xnVEJZUXpBdlNVSXZJOEV1TmkwMHRTZ2tmRUVoSkZlazlCTlFNUHRRbmVXZDBFalJjc09jaHFhYUNoRnk3VU80UzN0WTNxN1NYdGdDOGZrYlI1dmtXMzlzZ3lVUVViU3RwMVVKY0EybEZnYjNucy1iSkZRT3JyRlBPdDNMQ1FnMDQwUGgtNzB4OVhhWi0tbmp3cDlSaw?oc=5" TargetMode="External"/><Relationship Id="rId36" Type="http://schemas.openxmlformats.org/officeDocument/2006/relationships/hyperlink" Target="https://news.google.com/rss/articles/CBMivwFBVV95cUxOMmt4MWFpZTd3cVZPaXlnMW52VVJJTE53aXdZRHF5TGg5RUwxSkx3b1hhNlJManpZUjhra0lneWpvY0EwamZyelg5UkhVaEp0WGRHNGNsMWhRZFFlV1JwTVA2Sk9HLVZOaXY2S1kyVnF4R0dTcUE4dkk5VlQwcGtkZ3VrS3Bnd0pDUzBobThZaGJrYzFhZ1cwWmozWWtHczJOT19VekJFeUY4cVA5LVduYm5WNnZHbHJWLWlseENLWQ?oc=5" TargetMode="External"/><Relationship Id="rId37" Type="http://schemas.openxmlformats.org/officeDocument/2006/relationships/hyperlink" Target="https://news.google.com/rss/articles/CBMi4AFBVV95cUxQcjZ6aFlUblFvUGpOVUtHNTczb3EycnZWektmX1RxZnJVRWJDLUV0Y09XOGEzRXVyZDByaHVoOFcxNWZ0RFU2YkZScm56RmRuRk1qUnQ5U1ZuY0ZSdU8yU2lBRS02eUxnaGc3Q09TS0FxSENfcERkMGJ2eUlMRVA1dXR5QUhDRi1RRHJNTVl0R3djQUZsNkNkSENkbGhqYW9yeXBTY2poQWp5V3Bxa2QxSW9KT3M3MUJCQ1h2dTR6V2NYajl4Y0VTOUl3V042bjZfQVlXbF9kQkFiMHhWcFNOdw?oc=5" TargetMode="External"/><Relationship Id="rId38" Type="http://schemas.openxmlformats.org/officeDocument/2006/relationships/hyperlink" Target="https://news.google.com/rss/articles/CBMi5wFBVV95cUxNa1VObWFzdjl6MlgzVVQzN2UxUk9mcmRDNEhoRG9vTGI0UlBfSHpPcWhEN1RNcy1vVjloNnJXemdIWm8xN0JBZG1Tb0N1TFlSSTc3UnB2WWIzcWhZVlcyZ2d1VHBIZ3ZFcHNEVWNLbFZKWF9pTkozZTk1ZWVFMTNDSTNPNlJIYTh4Z0tfQjRyMmFRdDdabUJNbG9hb2dVS1Zjd1dWaEprdzdiNEVTX3U2ZDBkSEFidWdGS2VENjY1andCRHFuWlB4SUl6UXVTczg2U2d5MkJnZU56WWVjLTRZWm1KUmF3eUE?oc=5" TargetMode="External"/><Relationship Id="rId39" Type="http://schemas.openxmlformats.org/officeDocument/2006/relationships/hyperlink" Target="https://news.google.com/rss/articles/CBMiiAFBVV95cUxPbXZDSUZmbEdIaXFMbTlubzZuTTREaEE1cFpGYUR4dTVVeEpaY0x5OGZORnBOQ2VZMGt5OXp5NkM4SGFoZ0FNcmtUUEk3SjZpYm9SaFl3bTBYVXFaVV9lRUwtbXBkNVViOURNQ2RSWXFLblI4eGItSlBoVGlPcnJXaHVXYUlxVDBh?oc=5" TargetMode="External"/><Relationship Id="rId40" Type="http://schemas.openxmlformats.org/officeDocument/2006/relationships/hyperlink" Target="https://news.google.com/rss/articles/CBMivwFBVV95cUxOeUR2R2JZZ25DMmR2RWhxUW9DY3ZucXZUdkM5WWZwa3VaWHdjRHRvVHBkMGQzbmcwaUV4OGJVS3dNX1p3bEVWZEx3VzRyZ3F6alM3TWhDNDdsT1hEbUVvcFpiOVpIOGpYREhZV3UwOXJrNmsyTFVYaENObzZPWTdhRzE1U0x1ajRuYTVEMnR0VldRSkwzaUlBUGk4MDM2R1dWejYxR0pMZ2NzanJWT3NNUTdKRWVrb08zSkNiQndzMA?oc=5" TargetMode="External"/><Relationship Id="rId41" Type="http://schemas.openxmlformats.org/officeDocument/2006/relationships/hyperlink" Target="https://news.google.com/rss/articles/CBMiwwFBVV95cUxNWmVtZ2tNYXNISUQwNEVmUlh5bmRYdU5jMnRXQjdDcFFPaElxU2VuaDZMbklGMmJuTTNRM1F6LXNKSjNONkpkRlk2YjU3OXR2VlNlQS1MTlRyZjM0YmJGRFlYY0dYNmZfRWp4enJtT2FDUFVXdXRiR0FCTUFfaWpEaTlsQzBhWmpBOEhKSnJYWjFRWnpvY1N0OUZ3OVpNVHZyeFZGRVotVDctRzF6bVZVN0xYU0tmNjJLWkUyVnNka1FiSFE?oc=5" TargetMode="External"/><Relationship Id="rId42" Type="http://schemas.openxmlformats.org/officeDocument/2006/relationships/hyperlink" Target="https://news.google.com/rss/articles/CBMiiwFBVV95cUxNVS1KeHY5cWZFXzJ1M3R0dW55NzNQOFRfNzNpZG5oUWN6TG1qd1hGRURObUQ0U1dRRkVlbl9zNnU0cUZ6S21Oc0NqVUd3cUNEMzR2YjN6S29NSXEyeWxEQnRILWhoSnp5cmZhM2l2MGl0Q2NUWl9UVjMxMDBWZnlhaFVvdW9QelFLWXc0?oc=5" TargetMode="External"/><Relationship Id="rId43" Type="http://schemas.openxmlformats.org/officeDocument/2006/relationships/hyperlink" Target="https://www.lhv.ee/en/esg" TargetMode="External"/><Relationship Id="rId44" Type="http://schemas.openxmlformats.org/officeDocument/2006/relationships/hyperlink" Target="https://www.lhv.ee/assets/files/LHV_Group_Annual_Sustainability_Report_2025-EN.pdf#page=80" TargetMode="External"/><Relationship Id="rId45" Type="http://schemas.openxmlformats.org/officeDocument/2006/relationships/hyperlink" Target="https://www.err.ee/1609754001/lhv-nouab-rahapesu-andmeburoolt-pangasaladuse-asjas-247-miljonit" TargetMode="External"/><Relationship Id="rId46" Type="http://schemas.openxmlformats.org/officeDocument/2006/relationships/hyperlink" Target="https://www.lhv.ee/assets/files/LHV_Group_Annual_Sustainability_Report_2025-EN.pdf#page=97" TargetMode="External"/><Relationship Id="rId47" Type="http://schemas.openxmlformats.org/officeDocument/2006/relationships/hyperlink" Target="https://www.lhv.ee/assets/files/LHV_Group_Annual_Sustainability_Report_2025-EN.pdf#page=81" TargetMode="External"/><Relationship Id="rId48" Type="http://schemas.openxmlformats.org/officeDocument/2006/relationships/hyperlink" Target="https://www.lhv.ee/assets/files/LHV_Group_Annual_Sustainability_Report_2025-EN.pdf#page=95" TargetMode="External"/><Relationship Id="rId49" Type="http://schemas.openxmlformats.org/officeDocument/2006/relationships/hyperlink" Target="https://sebgroup.com/sustainability/our-sustainability-strategy/policies" TargetMode="External"/><Relationship Id="rId50" Type="http://schemas.openxmlformats.org/officeDocument/2006/relationships/hyperlink" Target="https://www.lhv.ee/assets/files/LHV_Group_Annual_Sustainability_Report_2025-EN.pdf#page=90" TargetMode="External"/><Relationship Id="rId51" Type="http://schemas.openxmlformats.org/officeDocument/2006/relationships/hyperlink" Target="https://www.lhv.ee/assets/files/LHV_Group_Annual_Sustainability_Report_2025-EN.pdf#page=88" TargetMode="External"/><Relationship Id="rId52" Type="http://schemas.openxmlformats.org/officeDocument/2006/relationships/hyperlink" Target="https://www.lhv.ee/assets/files/LHV_Group_Annual_Sustainability_Report_2025-EN.pdf#page=98" TargetMode="External"/><Relationship Id="rId53" Type="http://schemas.openxmlformats.org/officeDocument/2006/relationships/hyperlink" Target="https://www.lhv.ee/assets/files/LHV_Group_Annual_Sustainability_Report_2025-EN.pdf#page=8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