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Residential and commercial real estate developer (Estonia, Latvia)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Sales contracts are rising (129 homes, +36%, own calculation),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-2.21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(own calculation);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Few completed units to sell:</w:t>
      </w:r>
      <w:r>
        <w:rPr>
          <w:b w:val="0"/>
        </w:rPr>
        <w:t xml:space="preserve"> H1 revenue EUR 6.2m (22.1m) due to a small carry-over of completed unsold apartments – 23 homes handed over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gross margin 6.7% (13.0%), net loss EUR 2.2m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rising construction costs and dearer borrowing with flat rents hurt commercial projects; housing demand is growing strongly, so the Veidema quarter in Riga is being switched to residential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513 homes under construction (255 a year earlier), a basis for future revenue; first-time sales of 129 homes for EUR 25.7m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