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holding (LHV Pank Estonia, LHV Bank UK, asset management, insurance)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5.375%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5.5%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6.0%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4.125%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Q3 profit was a record EUR 37.5m (EUR 26.3m a year ago), and the bank says it will meet its financial plan targets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capital buffer has narrowed: total capital is 20.25% against an internal target of 20.0%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This matters most for the Tier 2 and AT1 bonds held.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81.91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2.1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15.28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20.25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Loans growing:</w:t>
      </w:r>
      <w:r>
        <w:rPr>
          <w:b w:val="0"/>
        </w:rPr>
        <w:t xml:space="preserve"> loans to customers EUR 5,951m (+8.9% since YE2025; own calculation), deposits EUR 7,735m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net interest income EUR 190.6m (+8.8%), total income EUR 232.7m (+3.0%; changes are own calculation). Q3 net interest margin 2.80% (2.36% a year ago)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cost/income 57.0% (51.7% a year ago). EUR 8.9m of provisions were released in Q3, so loan losses had no negative impact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Stage 3 (non-performing) loans EUR 72.4m, about 1.2% of loans (own calculation)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profitability 6.5% below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target; 2026 progress in line with plan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 announced in the 2025 annual report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For 2025: EUR 0.09 per share; 2026 plan: EUR 0.08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Paid in line with the policy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rates, higher income:</w:t>
      </w:r>
      <w:r>
        <w:rPr>
          <w:b w:val="0"/>
        </w:rPr>
        <w:t xml:space="preserve"> Q3 net interest income EUR 68.8m (+24% y/y); management says income exceeds the budget thanks to higher-than-expected market rates and strong loan demand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 environment:</w:t>
      </w:r>
      <w:r>
        <w:rPr>
          <w:b w:val="0"/>
        </w:rPr>
        <w:t xml:space="preserve"> the ECB raised the deposit rate to 2.50%, 6-month Euribor rose to 3.0% by end-September and 12-month to about 3.3%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Estonian inflation accelerated to 3.5% in September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is confident of meeting its financial plan, with key indicators ahead of plan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publishes a list of activities that go against its credit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credit policy rules out lending to customers with clear evidence of human rights violations or serious environmental harm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(quick search,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supervisory penalty is a EUR 0.4m ECB fine over risk-weighted asset calculation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LHV found (search in Estonian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main case has LHV as the claimant: in July 2025 the bank notified the Financial Intelligence Unit of its intent to claim a EUR 247.5m contractual penalty, because the unit accessed LHV client account statements 1,289 times without legal basis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Sustainable products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home loans, EV leasing, apartment renovation and energy project loans, the EIF sustainable loan programme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 least 50% of new mortgages for A and B energy class housing, 100% renewable electricity by 2030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financing of new diesel passenger cars from 2030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contribute to the Paris Agreement goals and the transition to a climate-neutral economy by 2050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Activity exclusion list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and environmental criteria in the credit policy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risk assessment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(PCAF) are not disclosed as figures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liquidity and MREL have headroom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 Scope 1 emissions 0 t CO2e, Scope 3 573,454 t CO2e in 2025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Group management and supervisory boards 30%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Sustainable products and clear climate targets; financed emissions are not yet disclosed as figures.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8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9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4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5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sanctionssearch.ofac.treas.gov/" TargetMode="External"/><Relationship Id="rId46" Type="http://schemas.openxmlformats.org/officeDocument/2006/relationships/hyperlink" Target="https://www.sanctionsmap.eu/#/main" TargetMode="External"/><Relationship Id="rId47" Type="http://schemas.openxmlformats.org/officeDocument/2006/relationships/hyperlink" Target="https://www.err.ee/1609754001/lhv-nouab-rahapesu-andmeburoolt-pangasaladuse-asjas-247-miljonit" TargetMode="External"/><Relationship Id="rId48" Type="http://schemas.openxmlformats.org/officeDocument/2006/relationships/hyperlink" Target="https://www.lhv.ee/assets/files/LHV_Group_Annual_Sustainability_Report_2025-EN.pdf#page=97" TargetMode="External"/><Relationship Id="rId49" Type="http://schemas.openxmlformats.org/officeDocument/2006/relationships/hyperlink" Target="https://www.lhv.ee/assets/files/LHV_Group_Annual_Sustainability_Report_2025-EN.pdf#page=81" TargetMode="External"/><Relationship Id="rId50" Type="http://schemas.openxmlformats.org/officeDocument/2006/relationships/hyperlink" Target="https://www.lhv.ee/assets/files/LHV_Group_Annual_Sustainability_Report_2025-EN.pdf#page=95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www.lhv.ee/assets/files/LHV_Group_Annual_Sustainability_Report_2025-EN.pdf#page=90" TargetMode="External"/><Relationship Id="rId53" Type="http://schemas.openxmlformats.org/officeDocument/2006/relationships/hyperlink" Target="https://www.lhv.ee/assets/files/LHV_Group_Annual_Sustainability_Report_2025-EN.pdf#page=88" TargetMode="External"/><Relationship Id="rId54" Type="http://schemas.openxmlformats.org/officeDocument/2006/relationships/hyperlink" Target="https://www.lhv.ee/assets/files/LHV_Group_Annual_Sustainability_Report_2025-EN.pdf#page=98" TargetMode="External"/><Relationship Id="rId55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