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1H2026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Luminor 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3Q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3.551%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XS3079969104  ·  3,551 % · 2029-06-12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4.042%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XS2888497067  ·  4,042 % · 2028-09-10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7.375%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XS2982074861  ·  7,375 %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Kapitalas ir likvidumas gerokai viršija reikalavimus, o Moody's po OTP Bank sandorio paskelbimo reitingą paliko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sumažėjo maždaug penktadaliu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7,75 % obligacija XS2633112565 išpirkta 2026 m. birželį ir nebėra apyvartoje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19,0 %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187,0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23,7 p. p. vs 1H2025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sumažėjo maždaug penktadaliu:</w:t>
      </w:r>
      <w:r>
        <w:rPr>
          <w:b w:val="0"/>
        </w:rPr>
        <w:t xml:space="preserve"> 2026 m. I pusm. grynasis pelnas 72,0 mln. EUR, prieš metus – 91,6 mln.; vien II ketv. – 37,4 mln. EUR (46,2 mln.). Nuosavo kapitalo grąža 7,7 %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gerokai viršija reikalavimus:</w:t>
      </w:r>
      <w:r>
        <w:rPr>
          <w:b w:val="0"/>
        </w:rPr>
        <w:t xml:space="preserve"> CET1 19,6 %, bendras kapitalas 23,7 %. MREL 36,34 % TREA, kai reikalaujama 23,69 % plius buferiai. Likvidumas: LCR 187,0 %, NSFR 142,3 %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savininkas:</w:t>
      </w:r>
      <w:r>
        <w:rPr>
          <w:b w:val="0"/>
        </w:rPr>
        <w:t xml:space="preserve"> 2026-07-20 paskelbta, kad OTP Bank įsigis 100 % Luminor iš Blackstone konsorciumo ir DNB. Laukiama priežiūros institucijų leidimų. Moody's reitingą ir perspektyvą paliko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Dalis kapitalo bus grąžinta:</w:t>
      </w:r>
      <w:r>
        <w:rPr>
          <w:b w:val="0"/>
        </w:rPr>
        <w:t xml:space="preserve"> 2026-07-17 ECB leido sumažinti CET1 kapitalą 200,0 mln. EUR; tikimasi IV ketv.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Pigesnis finansavimas:</w:t>
      </w:r>
      <w:r>
        <w:rPr>
          <w:b w:val="0"/>
        </w:rPr>
        <w:t xml:space="preserve"> grąžinta 300 mln. EUR pirmaeilė obligacija (MS+4,471 %) ir išleista pirmoji 500 mln. EUR senior non-preferred obligacija (MS+1,28 %)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21,4 %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60,1 %ᶜ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10 535,4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10 820,5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11 903,2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11 352,7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11 240,5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12 275,5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19,6 %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9,9 %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36,34 %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187,0 %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23,7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142,3 %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2,1 %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klientams 11 903,2 mln. EUR (+3,6 % nuo 2025 m. pab.), indėliai 12 275,5 mln. EUR (+6,6 %; pokyčiai – mūsų skaičiavimas)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1H – 214,4 mln. EUR; grynoji palūkanų marža 2,70 % (2025 m. – 2,71 %)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65,5 % (2025 m. – 64,7 %); rizikos kaina 0,14 % (0,01 %); neveiksnios paskolos 2,1 % (2,0 %)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1H 2026 išmokėta 74,0 mln. EUR dividendų už 2025 m.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157,7 mln. EUR (2024 m. – 202,2 mln., −22,0 %), ROE 8,6 %, CET1 20,2 %, bendras kapitalas 24,6 %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 2026 išleista 500 mln. EUR SNP; Moody's reitingą patvirtino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išleista 500 mln. EUR SNP (MS+1,28 %), o išpirkta 300 mln. EUR senior obligacija (MS+4,471 %) – finansavimas atpigo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Numatyta IV ketv.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planas: ECB leidimas gautas 2026-07-17. Kapitalas gerokai viršija reikalavimus (CET1 19,6 %), todėl perteklius grąžinamas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savininkai susitarė parduoti 100 % OTP Bank; Moody's po pranešimo reitingą ir perspektyvą patvirtino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dvi pirmaeilės (senior preferred) obligacijos – 4,042 % 2028 (emitento pirkimo teisė už nominalią vertę 2027-09-10) ir 3,551 % 2029 (pirkimo teisė 2028-06-12) – bei neterminuota 7,375 % obligacija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7,75 % 2027 obligacijos XS2633112565 pirkimo data buvo 2026-06-08, ir Luminor šią 300 mln. EUR obligaciją išpirko 2026 m. I pusm., todėl jos nebėra apyvartoje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po pranešimo Moody's reitingą ir perspektyvą paliko, todėl poveikio reitingui kol kas nėra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Abi turimas pirmaeiles obligacijas emitentas gali išpirkti už nominalią vertę 2027 ir 2028 m.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Palūkanos ir konkurencija:</w:t>
      </w:r>
      <w:r>
        <w:rPr>
          <w:b w:val="0"/>
        </w:rPr>
        <w:t xml:space="preserve"> grynosios palūkanų pajamos +1,6 % iki 111,2 mln. EUR dėl didesnių indėlių ir indėlių maržų kylant bazinėms palūkanoms, bet paskolų maržas mažino konkurencija; NIM 2,75 % (prieš metus 2,95 %)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Sąnaudos:</w:t>
      </w:r>
      <w:r>
        <w:rPr>
          <w:b w:val="0"/>
        </w:rPr>
        <w:t xml:space="preserve"> išlaidos +3,2 % iki 90,5 mln. EUR, iš jų IT migracijos 20,3 mln. EUR; personalo išlaidos +16,6 % perimant veiklas ir samdant programuotojus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Dauguma sektoriaus mokesčių baigėsi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regiono perspektyvą vertina teigiamai ir IV ketv. planuoja 200 mln. EUR CET1 kapitalo sumažinimą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2026-10-13 Europos Komisija leido OTP Bank įsigyti Luminor Holding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Dėmesio – pirkėjo ryšiai su Rusija:</w:t>
      </w:r>
      <w:r>
        <w:rPr>
          <w:b w:val="0"/>
        </w:rPr>
        <w:t xml:space="preserve"> 2026-09-28–29 spauda (remdamasi Bloomberg) rašė, kad tarp OTP klientų yra su „Gazprom“ siejamų įmonių ir kad OTP svarsto visiškai pasitraukti iš Rusijos. Tai susiję su pirkėju OTP, ne su Luminor veikla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2026-09-26 Latvijos spauda rašė, kad Luminor Bank anuliuoja 500 mln. EUR vertės obligacijas; kurios emisijos – antraštėje nenurodyta</w:t>
      </w:r>
      <w:hyperlink r:id="rId37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2026-07-25 – 2026-10-23: 32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EU clears Luminor takeover involving OTP Bank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OTP Bank wins EU approval for Luminor while OTP Bank stock trades at EUR 114.05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„Luminor“ grupę siekiantis įsigyti Vengrijos bankas OTP svarsto trauktis iš Rusijos</w:t>
              </w:r>
            </w:hyperlink>
            <w:r>
              <w:rPr>
                <w:b w:val="0"/>
                <w:color w:val="667085"/>
                <w:sz w:val="15"/>
              </w:rPr>
              <w:t xml:space="preserve">   LRT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„Luminor“ privačios bankininkystės vadovo asmeninis portfelis: renkuosi sritis, kurias gerai išmanau ir kurios man įdomios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Luminor backs Latvian road builder SMA with €3M financing package</w:t>
              </w:r>
            </w:hyperlink>
            <w:r>
              <w:rPr>
                <w:b w:val="0"/>
                <w:color w:val="667085"/>
                <w:sz w:val="15"/>
              </w:rPr>
              <w:t xml:space="preserve">   Dealroom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Luminor“ ekonomistas Žygimantas Mauricas: šilta žiema būtų geriausia dovana europiečių piniginėms</w:t>
              </w:r>
            </w:hyperlink>
            <w:r>
              <w:rPr>
                <w:b w:val="0"/>
                <w:color w:val="667085"/>
                <w:sz w:val="15"/>
              </w:rPr>
              <w:t xml:space="preserve">   Infoerdve.lt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auga (2025 m. – 305,4 mln. EUR)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viešuose šaltiniuose ir naujienose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dėl pinigų plovimo prevencijos neskelbta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2025 m. priežiūros pastaba – Finantsinspektsioon nurodymas dėl bazinių mokėjimo paslaugų tvarkos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Oy – Suomijos logistikos įmonė, susijusi su Siberica Oy (pagal ES sąrašo įrašą apie Gabriel Temin), ne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Logistics – slapyvardis tame pačiame US OFAC įrašų rinkinyje kaip Luminor Oy ir Siberica Oy (logistika), ne Luminor Bank AS.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pačią Luminor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Dauguma naujienų – apie OTP Bank sandorį.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2026-09-28–29 spauda rašė apie pirkėjo OTP klientų sąsajas su Rusija – tai susiję su pirkėju, ne su Luminor veikla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32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2025 m. – 305,4 mln. EUR (2024 m. – 182,4 mln.), tikslas – 700 mln. EUR iki 2030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skaičiuojamos PCAF metodu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portfelio, tikslas – 50 %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Gavus leidimus savininku taps OTP Bank (Vengrija)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Valdymo ar tarptautinių normų pažeidimų nerasta (greita paieška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atskleidžiamos pagal PCAF (3 apimtis – 3,2 mln. t CO2e 2025 m.)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305,4 mln. EUR, tikslas – 700 mln. EUR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gerbti žmogaus teises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PPTFP ir sankcijų atitiktis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priemonės ir pranešėjų kanalai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 skolinimo išimčių sąrašo (anglis, nafta ir dujos, ginklai) ir narystės JT Pasauliniame susitarime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kapitalas, likvidumas ir ESG praktika – tvirti.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(3 apimtis) 2025 m. – 3,2 mln. t CO2e, PCAF metodas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stebėtojų taryboje – 33,3 % (tikslas 40 %)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18,4, maža rizika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Tvirta ESG praktika: matuojamos finansuojamos emisijos (PCAF), klimato neutralumo tikslas, augančios žaliosios paskolos ir mažos rizikos ESG reitingas. Savininku taps OTP Bank.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Luminor Bank - Interim report 2Q 2026, p. 3,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6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7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50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5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2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3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4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Luminor Bank</w:t>
    </w:r>
    <w:r>
      <w:rPr>
        <w:b w:val="0"/>
        <w:color w:val="667085"/>
        <w:sz w:val="16"/>
      </w:rPr>
      <w:tab/>
      <w:t>Emitento apžvalga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luminor.lv/sites/default/files/docs/finansu_parskati/luminor_bank_interim_report_2q26.pdf#page=3" TargetMode="External"/><Relationship Id="rId34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5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6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7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8" Type="http://schemas.openxmlformats.org/officeDocument/2006/relationships/hyperlink" Target="https://news.google.com/rss/articles/CBMitAFBVV95cUxPc2ttQmEzc1dtRmNJRzUxVXB3OWE5ekxQbHh6SVFZWlpfYU1nRmZCVFhKeTZlOXFkOUZmN2JyNlpxNU50dXlhQkxMcE1kYUplaHNfSU92SEEwR0E2VXJIZGZwM2hjNjlMQkF2cXYzbW5INUZKTFhSQW5tcDVkWHNKOER3dE44M2V5S21iYjg1MUJ5X29mTVVZTklhZDd2WUtCdXlmWldvWUs2eGNTQUdqUktSTUE?oc=5" TargetMode="External"/><Relationship Id="rId39" Type="http://schemas.openxmlformats.org/officeDocument/2006/relationships/hyperlink" Target="https://news.google.com/rss/articles/CBMi2gFBVV95cUxQTENGY3d5UHIyVm4zNFd2Z1c3ZF91SWVzaHQySlFyQ0pHU2JxMlNndjNOdENDQVdpNi1POGw4WklRd2pKZU1nYWNkcVJxTGpiWVR1Ul9QVHduR1laZ2pubjFaLXVEaHB2RE93ZlZiTTNSaVNFYVdwZ2xwMTZtYmhvc2hrZHdJOG9McnZVSEFDTHJfbmFCaVFsMER2Y0dOZ2xWcWttU2huR1hHWW15VGl5SElNYUpJVC1kYV9lOWhzY3hPTDUwTmc4ejlKWEl2UlQzUFM1QUNaUlJnZw?oc=5" TargetMode="External"/><Relationship Id="rId40" Type="http://schemas.openxmlformats.org/officeDocument/2006/relationships/hyperlink" Target="https://news.google.com/rss/articles/CBMixwFBVV95cUxPSXFLcVNjbUNOa0tfOU5rU0JMaFMyTzE4aGF0eWR4RTlSekJiMFF3R2MzajFEb1BTTWZRZk16LW1WWXBxaVVPNVljb2pHcGZKLVNXa0NkMGlHWjVPanZkQlVjM1daZ1FLdGY2dG1nNmZFYUJUWTZoQ3hQbkFhVHI1aEVHWVlQWWRkOU5wWXNSY3BzdzlGcV8tbUJuYUlkOS1vTXRvTlZDbVd0TU5JdVN1aFZDZFZFMi1SNS1uRXBYVHE4aUZDZHc4?oc=5" TargetMode="External"/><Relationship Id="rId41" Type="http://schemas.openxmlformats.org/officeDocument/2006/relationships/hyperlink" Target="https://news.google.com/rss/articles/CBMi-wFBVV95cUxON1Rpd3hGMXdZQ01HNnZHT2tqWGdROGd0QUdjbWZYaGNrOUVyQ0ZfQkU0emlkcXhNR0J0S2prelZkMGNBZnBLSHNiZTgwUG5TeUNrT21PUW1vYUZrUVkteUEzQ3JHU0hWcE1JUzUtMnJkSm02NlJraGNDVmZZWkktTFJUc2ptZDRNTThtSEVNNnlMTkFxeW1WMk9Ca1UzM0RfcnlmTHNnSlZMY0Vjal9HQzZpRzVONzlyYUVyTzlXRDdUUm1aSVMzN3VxcDhpenRrc1ozYVdrSzhlOTlnVnJUdWtVcUk5RjZfV2RhUHpLVUdkeVFISmFTSDZoYw?oc=5" TargetMode="External"/><Relationship Id="rId42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3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4" Type="http://schemas.openxmlformats.org/officeDocument/2006/relationships/hyperlink" Target="https://news.google.com/rss/articles/CBMinwFBVV95cUxOVk1fT05TX1cxM0NBQmRWdW80X04yb1BuSW1ocFNRS2VBd2dtX2R4Y3IxdVMxdXhMV3pXQUd2aGlvU21NSmdZa0VES0ZfSVlBVzU2d09vcDI4Z0ZLQzd3eldJS2NkSngteXFLdDJNZzQwcGJhanZmZXJIMnFCZlM5Y0FQT0N5Unhldlk3OG5ZZmJveG1kNE9zT0lNcEhWN1U?oc=5" TargetMode="External"/><Relationship Id="rId45" Type="http://schemas.openxmlformats.org/officeDocument/2006/relationships/hyperlink" Target="https://news.google.com/rss/articles/CBMiuAFBVV95cUxPOHFVZjBPZWNhWkdTZkZYOXNra24wOUtiQ0RScmZ6dThkeDJkWGxDRHFPcDRMTGo1RjJXU0FGTTZvRzh0YTZpNzZDREM2bGRzWWhDZHItc2k0TGRBY1FNWUZSQ1c5eWFBc0E5NlEzWWt3V0NWZTF1UnFxT2dLaFJNYjdiSG1nSUNQQmhmNjhrZ1dBYTBSb2ZuOEhheWRQZTBla2dtZXM1ZGRVQ2VzTDZXNUprMUx0Z05v?oc=5" TargetMode="External"/><Relationship Id="rId46" Type="http://schemas.openxmlformats.org/officeDocument/2006/relationships/hyperlink" Target="https://luminor.lv/sites/default/files/docs/finansu_parskati/luminor_bank_annual_report_2025-lv.pdf#page=19" TargetMode="External"/><Relationship Id="rId47" Type="http://schemas.openxmlformats.org/officeDocument/2006/relationships/hyperlink" Target="https://luminor.lv/sites/default/files/docs/finansu_parskati/luminor_bank_annual_report_2025-lv.pdf#page=16" TargetMode="External"/><Relationship Id="rId48" Type="http://schemas.openxmlformats.org/officeDocument/2006/relationships/hyperlink" Target="https://sanctionssearch.ofac.treas.gov/" TargetMode="External"/><Relationship Id="rId49" Type="http://schemas.openxmlformats.org/officeDocument/2006/relationships/hyperlink" Target="https://www.sanctionsmap.eu/#/main" TargetMode="External"/><Relationship Id="rId50" Type="http://schemas.openxmlformats.org/officeDocument/2006/relationships/hyperlink" Target="https://luminor.lv/sites/default/files/docs/finansu_parskati/luminor_bank_annual_report_2025-lv.pdf#page=22" TargetMode="External"/><Relationship Id="rId51" Type="http://schemas.openxmlformats.org/officeDocument/2006/relationships/hyperlink" Target="https://sebgroup.com/sustainability/our-sustainability-strategy/policies" TargetMode="External"/><Relationship Id="rId52" Type="http://schemas.openxmlformats.org/officeDocument/2006/relationships/hyperlink" Target="https://luminor.lv/sites/default/files/docs/finansu_parskati/luminor_bank_annual_report_2025-lv.pdf#page=18" TargetMode="External"/><Relationship Id="rId53" Type="http://schemas.openxmlformats.org/officeDocument/2006/relationships/hyperlink" Target="https://luminor.lv/sites/default/files/docs/finansu_parskati/luminor_bank_annual_report_2025-lv.pdf#page=23" TargetMode="External"/><Relationship Id="rId54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