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Electricity transmission system operator (Latvia); 68.46% of Conexus Baltic Grid (gas transmission and storage)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0.5%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AST is Latvia's 100% state-owned electricity transmission operator, rated A-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For the EUR 100m bond maturing on 2027-01-20 it holds EUR 94.7m of cash and an undrawn SEB overdraft of up to EUR 90m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0.93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(own calculation); equity ratio 40%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rose</w:t>
      </w:r>
      <w:r>
        <w:rPr>
          <w:b w:val="0"/>
        </w:rPr>
        <w:t xml:space="preserve"> to EUR 22.5m (19.1m a year earlier) on higher power and gas transmission revenue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power transmission revenue +8% thanks to balancing and congestion-management revenue (+EUR 41.8m)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new transmission tariffs from 2026-01-01; up to EUR 44.4m of accumulated congestion revenue can be used until end-2028, EUR 4.0m recognised in 1H 2026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Gas storage revenue fell 36% on lower bookings and tariff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the June power price in Latvia was EUR 92.23/MWh (+12.3% m/m) on lower wind output and a European heatwave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synchronisation and renewables growth significantly increase the need for balancing reserves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