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Citadele banka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A3, senior unsecured Baa2, outlook stable; AT1 Ba3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public financial information - 2026-11-04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7.125%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XS3060301168  ·  7,125 %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3.875% fixed/floating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XS3148256913  ·  3,875 % · 2029-12-23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39,8 mln. EUR (−8 %), ROE 13,7 %; CET1 17,8 %, bendras kapitalas 21,6 %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Dėl geopolitinio neapibrėžtumo bankas išmokėjo tik 31,5 % pelno dividendais, o tai palanku obligacijų turėtojams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39,8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8,1 %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17,8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0,7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šiek tiek mažesnis:</w:t>
      </w:r>
      <w:r>
        <w:rPr>
          <w:b w:val="0"/>
        </w:rPr>
        <w:t xml:space="preserve"> I pusm. grynasis pelnas (tęsiama veikla) 39,8 mln. EUR, prieš metus 43,3 mln.; ROE 13,7 % (15,4 %). Palūkanų pajamos stabilios – 89,5 mln. EUR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 – su atsarga:</w:t>
      </w:r>
      <w:r>
        <w:rPr>
          <w:b w:val="0"/>
        </w:rPr>
        <w:t xml:space="preserve"> CET1 17,8 %, bendras kapitalas 21,6 %, LCR 163 %, NSFR 138 %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Atsargūs dividendai:</w:t>
      </w:r>
      <w:r>
        <w:rPr>
          <w:b w:val="0"/>
        </w:rPr>
        <w:t xml:space="preserve"> už 2025 m. išmokėta 25,7 mln. EUR (31,5 % pelno, planuota 50 %) dėl geopolitinio neapibrėžtumo; 2026 m. sausį baigtas 50 mln. EUR akcijų supirkimas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Vadovų pokyčiai:</w:t>
      </w:r>
      <w:r>
        <w:rPr>
          <w:b w:val="0"/>
        </w:rPr>
        <w:t xml:space="preserve"> iš valdybos išėjo S. Mizak (2026-03) ir rizikos vadovė J. Lebedinska-Ļitvinova (2026-05); naujuoju rizikos vadovu siūlomas E. Näsäkkälä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7,125 %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(assigned 2026-04-21))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39,8*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192,5*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109,4*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50,3 %*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3,2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13,7 %*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3 275*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3 764*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3 947*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4,9 %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4 304*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4 325*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21,6 %*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163 %*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0,2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l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3 947 mln. EUR (+4,9 % nuo 2025 m. pab.), indėliai 4 325 mln. EUR (mūsų skaičiavimas)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50,3 % (47,1 %), rizikos kaina 0,3 %, trečios stadijos paskolos 1,9 % (2,1 %)</w:t>
      </w:r>
      <w:hyperlink r:id="rId15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Žaliasis finansavimas I pusm. – 56,4 mln. EUR (7,5 % naujų paskolų); 2025 m. – 176,2 mln. EUR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(tęsiama veikla) 84,7 mln. EUR (2024 m. – 94,5 mln.), ROE 14,6 % (17,5 %); 2025 m. parduotas Šveicarijos Kaleido Privatbank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2026-09-28 išleista 50 mln. EUR pirmaeilių obligacijų (5,15 %); dalis lėšų skirta 40 mln. EUR subordinuotoms obligacijoms supirkti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Dividendų politika: 50 % praėjusių metų pelno, jei leidžia vidiniai kapitalo tikslai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išmokėta 31,5 %; likusi 15,1 mln. EUR dalis gali būti išmokėta vėliau 2026 m.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valdyba sumažino išmoką dėl geopolitinio neapibrėžtumo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Žaliasis finansavimas: 75 mln. EUR tikslas 2026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 pusm. – 56,4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per pusmetį pasiekta 75 % metinio tikslo (mūsų skaičiavimas)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Vizija – tapti Baltijos šalių bankininkystės čempionu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Paskolų portfelis auga, ROE 13,7 %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3,875 % pirmaeilė privilegijuota (MREL) obligacija – 300 mln. EUR, fiksuota iki 2028-12-23, po to 3M EURIBOR + 1,70 %, išpirkimas 2029-12-23, reitingas Baa2; ir AT1 7,125 % neterminuota – 50 mln. EUR, pirmoji perskaičiavimo (pirkimo) data 2031-01-09, reitingas Ba3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AT1 turėtojams:</w:t>
      </w:r>
      <w:r>
        <w:rPr>
          <w:b w:val="0"/>
        </w:rPr>
        <w:t xml:space="preserve"> CET1 17,8 % gerokai viršija reikalavimus, o atsargi dividendų politika stiprina kapitalą</w:t>
      </w:r>
      <w:hyperlink r:id="rId1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Savininkai:</w:t>
      </w:r>
      <w:r>
        <w:rPr>
          <w:b w:val="0"/>
        </w:rPr>
        <w:t xml:space="preserve"> Ripplewood konsorciumas 69,8 %, ERPB 27,8 %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2026-10-12 vyko neeilinis akcininkų susirinkimas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geras, kapitalas stiprus, finansavimas pigus. 9M rezultatai – 2026-11-04.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Marža siaurėja:</w:t>
      </w:r>
      <w:r>
        <w:rPr>
          <w:b w:val="0"/>
        </w:rPr>
        <w:t xml:space="preserve"> grynosios palūkanų pajamos 89,5 mln. EUR (beveik nepakito), NIM 3,7 % (3,8 %) dėl mažesnio vidutinio Euribor, kurį kompensavo paskolų augimas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Išlaidos +5 % dėl konsultacijų, IT ir komunikacijos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Makro aplinka:</w:t>
      </w:r>
      <w:r>
        <w:rPr>
          <w:b w:val="0"/>
        </w:rPr>
        <w:t xml:space="preserve"> ECB birželį padidino indėlių normą 0,25 p. p. iki 2,25 %; rinkos nepaneigia tolesnio didinimo</w:t>
      </w:r>
      <w:hyperlink r:id="rId1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2026 m. BVP prognozės: Latvija 1,8 %, Lietuva 2,9 %, Estija 2,2 %; infliacija Lietuvoje 5,8 %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„aukštesnės ilgiau“ palūkanos ir toliau formuos Baltijos ekonomikų perspektyvą</w:t>
      </w:r>
      <w:hyperlink r:id="rId1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Obligacijos:</w:t>
      </w:r>
      <w:r>
        <w:rPr>
          <w:b w:val="0"/>
        </w:rPr>
        <w:t xml:space="preserve"> 2026-09-29 Citadele išplatino 50 mln. EUR obligacijų emisiją; paklausa viršijo pasiūlą 1,35 karto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Klientų saugumas:</w:t>
      </w:r>
      <w:r>
        <w:rPr>
          <w:b w:val="0"/>
        </w:rPr>
        <w:t xml:space="preserve"> spalį bankas įspėjo apie naujas sukčių veiklas (apsimetama banko darbuotojais) – tai įspėjimai klientams, ne pažeidimai</w:t>
      </w:r>
      <w:hyperlink r:id="rId2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EE, LT, LV), 2026-07-30 – 2026-10-28: 14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8">
              <w:r>
                <w:rPr>
                  <w:color w:val="1B2430"/>
                  <w:sz w:val="18"/>
                </w:rPr>
                <w:t xml:space="preserve">„Citadele banka“ išplatino 50 mln. obligacijų emisiją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Citadele panga tegevjuht: kõige madalam hõive- ja palgakasv on tehisintellektile tundlikes sektorites</w:t>
              </w:r>
            </w:hyperlink>
            <w:r>
              <w:rPr>
                <w:b w:val="0"/>
                <w:color w:val="667085"/>
                <w:sz w:val="15"/>
              </w:rPr>
              <w:t xml:space="preserve">   Head 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Banka "Citadele": Degvielas cenas tuvojas līmenim, kas var paātrināt pāreju uz elektroauto</w:t>
              </w:r>
            </w:hyperlink>
            <w:r>
              <w:rPr>
                <w:b w:val="0"/>
                <w:color w:val="667085"/>
                <w:sz w:val="15"/>
              </w:rPr>
              <w:t xml:space="preserve">   iAuto.lv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Sukčiai „WhatsApp“ apsimeta „Citadele“ darbuotojais: kaip apsaugoti duomenis ir pinigus</w:t>
              </w:r>
            </w:hyperlink>
            <w:r>
              <w:rPr>
                <w:b w:val="0"/>
                <w:color w:val="667085"/>
                <w:sz w:val="15"/>
              </w:rPr>
              <w:t xml:space="preserve">   77.lt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B2430"/>
                  <w:sz w:val="18"/>
                </w:rPr>
                <w:t xml:space="preserve">Banka "Citadele" brīdina par jaunām krāpnieku aktivitātēm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„Citadele“ bankas įspėja apie netikrus „WhatsApp“ profilius, apsimetančius banko darbuotojais</w:t>
              </w:r>
            </w:hyperlink>
            <w:r>
              <w:rPr>
                <w:b w:val="0"/>
                <w:color w:val="667085"/>
                <w:sz w:val="15"/>
              </w:rPr>
              <w:t xml:space="preserve">   Aukštaitijos internetinė naujienų agentūra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"Citadele" brīdina par pastiprinātu krāpnieku aktivitāti: uzmanieties no šādām ziņām "WhatsApp"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Banka "Citadele" izplatījusi brīdinājumu Latvijas iedzīvotājiem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“Citadele” piešķīrusi 3,9 miljonu eiro finansējumu Latgales energodrošības stiprināšanai</w:t>
              </w:r>
            </w:hyperlink>
            <w:r>
              <w:rPr>
                <w:b w:val="0"/>
                <w:color w:val="667085"/>
                <w:sz w:val="15"/>
              </w:rPr>
              <w:t xml:space="preserve">   Kursors.lv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Banka "Citadele" izsniegusi 3,9 miljonu eiro aizdevumu "Līvānu SES" un "Krāslavas SES II"</w:t>
              </w:r>
            </w:hyperlink>
            <w:r>
              <w:rPr>
                <w:b w:val="0"/>
                <w:color w:val="667085"/>
                <w:sz w:val="15"/>
              </w:rPr>
              <w:t xml:space="preserve">   Radio1.lv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Nustatyti sektoriai, kurių nefinansuoja dėl didelio neigiamo poveikio aplinkai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ir priežiūros baudų nerasta (2026-10-22).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2026-07-30 – 2026-10-28: 14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skolinimo sistema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2025 m. – 176,2 mln. EUR (2024 m. – 102,4 mln.), žalieji indėliai 52 mln. EUR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Atsakingos bankininkystės principų narys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Turto valdymo įmonė – PRI signatarė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nulinės finansuojamos emisijos iki 2050 m. (pereinamojo laikotarpio planas v1)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Finansavimo išimtys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tikslas 2050 m.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PRB narystė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Pinigų plovimo prevencijos ir sankcijų mokymai beveik 100 % darbuotojų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Finansuojamų emisijų skaičiai ataskaitoje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kapitalas stiprus,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– 11 % naujų paskolų 2025 m.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valdyboje 43 %, stebėtojų taryboje 25 %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Žaliasis finansavimas auga, yra klimato tikslas ir JT PRB narystė.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Citadele -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Citadele -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6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6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Citadele - Interim report 6M 2026, p. 6,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5">
        <w:r>
          <w:rPr>
            <w:color w:val="2A78D6"/>
            <w:sz w:val="17"/>
          </w:rPr>
          <w:t xml:space="preserve">Citadele - Interim report 6M 2026, p. 9,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Citadele - Interim report 6M 2026, p. 10,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5">
        <w:r>
          <w:rPr>
            <w:color w:val="2A78D6"/>
            <w:sz w:val="17"/>
          </w:rPr>
          <w:t xml:space="preserve">Citadele - Interim report 6M 2026, p.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15min.lt – „Citadele banka“ išplatino 50 mln. obligacijų emisiją,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quasa.io – Citadele 50 miljoni emissioon märgiti 1,35 korda üle, 2026-10-01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0">
        <w:r>
          <w:rPr>
            <w:color w:val="2A78D6"/>
            <w:sz w:val="17"/>
          </w:rPr>
          <w:t xml:space="preserve">DELFI – Banka "Citadele" brīdina par jaunām krāpnieku aktivitātēm,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6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6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Citadele banka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blgroup.com/en/investors/ratings/" TargetMode="External"/><Relationship Id="rId13" Type="http://schemas.openxmlformats.org/officeDocument/2006/relationships/hyperlink" Target="https://www.cblgroup.com/en/investors/announcements/2026/citadele-issues-eur-50-million-senior-unsecured-preferred-bonds/" TargetMode="External"/><Relationship Id="rId14" Type="http://schemas.openxmlformats.org/officeDocument/2006/relationships/hyperlink" Target="https://www.cblgroup.com/en/investors/bonds/" TargetMode="External"/><Relationship Id="rId15" Type="http://schemas.openxmlformats.org/officeDocument/2006/relationships/hyperlink" Target="https://www.cblgroup.com/media/W1siZiIsIjIwMjYvMDgvMDUvNTh4c2I0cDRzM19DaXRhZGVsZV82bTIwMjZfRU4ucGRmIl1d?sha=6f81681556b09959" TargetMode="External"/><Relationship Id="rId16" Type="http://schemas.openxmlformats.org/officeDocument/2006/relationships/hyperlink" Target="https://www.cblgroup.com/media/W1siZiIsIjIwMjYvMDMvMTkvOG9icXc4MzVubV9DaXRhZGVsZV9Bbm51YWxfcmVwb3J0XzIwMjUucGRmIl1d?sha=e68c93f08d3acc0c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ews.google.com/rss/articles/CBMirgFBVV95cUxPdXZ0QzFxSmstc2Uzd3lXdFhIYU5ybHdLNko4a2VPTDdwT3AwSUhuOGVadnZ5QkNTVU1RQ25wQjVrdV9jNllIaVRRYWlVVFEwN2IwYVlOdXNuTWMzV2NxX0k3MlFvVGFLZUI5djJkejBoZG10c21PdG10N3hHU0I5bmJhY2ozN0Q5anY4SDZDWVVPbkNqc3R1eWRUdmoxVkRNVmFtdGhQMDMxRURNcXc?oc=5" TargetMode="External"/><Relationship Id="rId19" Type="http://schemas.openxmlformats.org/officeDocument/2006/relationships/hyperlink" Target="https://news.google.com/rss/articles/CBMijwFBVV95cUxOZnVhUjlvWnoyNnlTaFQ1UERpclFrY19pUDgySXJpc25oUTFrOXNHV2ZPY3FaajJXa3NyLU02eUhvb1RkUnBIekVSNnRhTVduZEdhV1Fva0hub1UzcGFsd3Q3a2NWYU9xeEpGVUhCbWExS3JzdHlWbjY4bGN6N1lCZEF4U1RMS2NZRGhhOC0zaw?oc=5" TargetMode="External"/><Relationship Id="rId20" Type="http://schemas.openxmlformats.org/officeDocument/2006/relationships/hyperlink" Target="https://news.google.com/rss/articles/CBMivwFBVV95cUxQcWp5MXFsOE1UOG54R3M1RXhnRVlGcWt4LXd0ek9XOVA5RzVPMnZld0g5NHdaa1dQYkZxQ3F0S1FQenQ1TklJMUx6UmROS2x5R1o0SGlNNFZqRWpMUXJTR1RBNXJjTFJOWE9yNlhDLWliVzZ1VU43VXR6X0xveE1PY0dDOFhfYTh3X2ZmU3Y3czhNYVpkRUFCSktEWkh3dEV2SnlCaklMbkotUkdveU00MUt3RFlNWG1LUWd5Wkt4dw?oc=5" TargetMode="External"/><Relationship Id="rId21" Type="http://schemas.openxmlformats.org/officeDocument/2006/relationships/hyperlink" Target="https://news.google.com/rss/articles/CBMivAFBVV95cUxNQXo2X2NJMmNDaTItcVJfNW1hd19lU25kUXFuR3F3ZTRvcS1vT2FpMW5kQjhndTBheWJmRUxyX05samoxRkZTT1VKaFJCN1M4NVc0V3ZjYXRaMnhRazM2STBRNW5IV2doY1M0YjFXanI2dEprcF9TVGJCUldsdG9yazVHRzZFZlNGUFRKc3FQT0UzTXUwSkVCWFZUTUxheXJNX0hkbGgzWkVubjdPaEdnV1hBaXI5cUp6dDk0bw?oc=5" TargetMode="External"/><Relationship Id="rId22" Type="http://schemas.openxmlformats.org/officeDocument/2006/relationships/hyperlink" Target="https://news.google.com/rss/articles/CBMiwAFBVV95cUxOYkx2UGhDM3RVdUlLcmFKcmtWd2ZuZXhXWUw4OW9TZDd5NTBhOGhhbEk1RWRkeW9QcXgzdHFuN0dDM3FXa3hOYTZSbkR5Nlc2bWJJQkdMa1lZNUxJeVFfMUlSVG51MUtMNkRCUVZ5a3Z4N3Q4d0l0QXUxdzV3MThJQnJTRTNZdFBHVWstMTEzOW51cmNlYkpBQUxld2FfRmQyVFh2V1ZVWnVWUjk4NkkxM28wa0RVM1BJQmQzSENURkk?oc=5" TargetMode="External"/><Relationship Id="rId23" Type="http://schemas.openxmlformats.org/officeDocument/2006/relationships/hyperlink" Target="https://news.google.com/rss/articles/CBMinAFBVV95cUxOUkZHM1dvU2ZGWWhlWm9QWndsSkJjMk1BY2t3TmdXZW1PVXZJNDRJR2xnQ2diZXQ1bEdOYm5iam9PZVJjMUE2c1phRk1IeWhKT2M0N1lLTHl1RkJUUHpWX0VPWEZLbWNraDB3Q2hXb0FOd3VsMVo5b2hqUTV2UVAxOUM3bWpyZHFSNVVKX0JzazFjbUxQSTVSSloxdC0?oc=5" TargetMode="External"/><Relationship Id="rId24" Type="http://schemas.openxmlformats.org/officeDocument/2006/relationships/hyperlink" Target="https://news.google.com/rss/articles/CBMiqAFBVV95cUxQT1N2SndMNFBHR2loaTBWeUVNc2w0REE2VHdsTnZPNTNmNVROZ2VjbmxMZVVKUG9MTkZubFpBcC1PSy1uZ3JjeWZYTGx4XzBGemZsWExLOWtSdG5wbklVZGFsNG51M3lhS2xfU1ZUVGFGcWJpQnFHNTA4U3I3bDU3UEVlTUdycDZ0bTBTMkxJdUZpWVJQY3hKMnJ1c05HbkdvRWZhZWNHd2s?oc=5" TargetMode="External"/><Relationship Id="rId25" Type="http://schemas.openxmlformats.org/officeDocument/2006/relationships/hyperlink" Target="https://news.google.com/rss/articles/CBMiyAFBVV95cUxQcEFCMHAtTFNBY0t4Y3IyX09hdm84NUx3dmE3XzhHLXBTOTJVZ1BxWHhFbmpmU2NmdVM5MGpLSVlldzVHZlNUb255WE1rc2lHLWpyTXRtTm5aQ05nRF9jem9GblJKdWNyWFBGMkJGOUpWcXdSWWVjYUNIZVAySWJHbFZTT2pQUTk4QmJuVGhuZkxfTDZNT0xYYnF2NlplbFRFVFZiOE93cXo5a0lzVW5qdFV1NkRnZ2dyWmpyOU5CUlJnYlhqUnB5ZA?oc=5" TargetMode="External"/><Relationship Id="rId26" Type="http://schemas.openxmlformats.org/officeDocument/2006/relationships/hyperlink" Target="https://news.google.com/rss/articles/CBMigAFBVV95cUxNWVZEVV9nUkJGZ3VZX3ozQ3VzM2RDR1VqOFZmNkQxUExoeDc5TGt4WW45MC1UZktBSUk4TFRsdUJEZmtocElnODVnNUVhYkFsYUdONWdyWUg5OHk1Q0hjUy1VQmw0TWwtTVMyOEFMQVlQb2UzYUtrRlNaY1VDdHpLdw?oc=5" TargetMode="External"/><Relationship Id="rId27" Type="http://schemas.openxmlformats.org/officeDocument/2006/relationships/hyperlink" Target="https://news.google.com/rss/articles/CBMitwFBVV95cUxQSGZOQVZaWGswMVZ2LWN4UUhOVERjTzVXT1o1aFphWnI5Vm0za2JjNElIazA5emxXR2FCZUVFU0NXUURUQXFweGZUVVVpbmxYZ2gxbm05dE1rUUhVaXRPQzFFWDFISWhBU3MyaldhaGNQQ2Y3WUdCRTRKSk0xa2VhbDNVT3ZpOEVJR3cteGFJTmo1X0FERmxGOEJSWEJzVE5oS214REQ0SUx1dWdoeHRhVXIxQWdKcmM?oc=5" TargetMode="External"/><Relationship Id="rId28" Type="http://schemas.openxmlformats.org/officeDocument/2006/relationships/hyperlink" Target="https://news.google.com/rss/articles/CBMi6AFBVV95cUxPTl93THFUaE0tcTY3aGJraFI5MjFPM2pEWVc2ZTNwblRSMFhTNXhuVkVfajRUcnpXU0hpcHZ4am0yYVZEZkFEUVVwQ09KOVZVeFBPSEk0MDVEY0pMSlMyLUJuZzYzeVBhRnBUWHJfSERvS19RLTluTkE4RDBhdkIxVnZLVGxZUHVodm5sNkx6bFB3Zi1WRTJsZ0lPUmtuWDMyanlFM1o0RGNyNUZ1aVd2ekFPZExic3MtUDlRTi1Fam5nMFB5SnczcEpJcnRBeTJzR0x6Y1NNSWVBZS1zQ2hpNkZmZXFMUzdO?oc=5" TargetMode="External"/><Relationship Id="rId29" Type="http://schemas.openxmlformats.org/officeDocument/2006/relationships/hyperlink" Target="https://sanctionssearch.ofac.treas.gov/" TargetMode="External"/><Relationship Id="rId30" Type="http://schemas.openxmlformats.org/officeDocument/2006/relationships/hyperlink" Target="https://www.sanctionsmap.eu/#/main" TargetMode="External"/><Relationship Id="rId3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