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Agricultural cooperative (grain and rapeseed trading, storage, malt; pea protein plant under construction)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7.5%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own calculation),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grain prices:</w:t>
      </w:r>
      <w:r>
        <w:rPr>
          <w:b w:val="0"/>
        </w:rPr>
        <w:t xml:space="preserve"> grain prices stayed low while production costs remained high – selling prices well below the previous five years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EU growers have higher costs than competing export regions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Weather:</w:t>
      </w:r>
      <w:r>
        <w:rPr>
          <w:b w:val="0"/>
        </w:rPr>
        <w:t xml:space="preserve"> an overly wet summer and autumn hampered harvesting; an unusually large share of grain missed food-grade standards and was sold as feed, though overall yields beat forecasts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Result:</w:t>
      </w:r>
      <w:r>
        <w:rPr>
          <w:b w:val="0"/>
        </w:rPr>
        <w:t xml:space="preserve"> turnover EUR 240m, profit EUR 2.7m (1.1% of turnover); rising business and labour costs in Latvia weigh on profitability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2026-07-30 – 2026-10-28: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