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Emitento apžvalga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Latvenergo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Latvija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TVARKINGA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Pagrindinė informacija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Emitento reitingas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Moody's Baa2, stable outlook (affirmed October 2025)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9M 2026 interim report - 2026-11-30</w:t>
            </w:r>
            <w:hyperlink r:id="rId14">
              <w:r>
                <w:rPr>
                  <w:color w:val="2A78D6"/>
                  <w:vertAlign w:val="superscript"/>
                  <w:sz w:val="15"/>
                </w:rPr>
                <w:t xml:space="preserve">3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Šalis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Latvija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Turimi vertybiniai popieriai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Latvenergo 4.952% 6Y green bond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Žalioji obligacija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LV0000802684  ·  4,952 % · 2029-02-22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Latvenergo 2.42% 5Y green bond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Žalioji obligacija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LV0000870129  ·  2,42 % · 2027-05-05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Latvenergo 0.5% 7Y green bond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Žalioji obligacija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LV0000802460  ·  0,5 % · 2028-05-17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Latvenergo 3.612% 5Y green bond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Žalioji obligacija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XS3227294132  ·  3,612 % · 2030-11-13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Pozicija tvarkinga.</w:t>
            </w:r>
            <w:r>
              <w:rPr>
                <w:b w:val="0"/>
                <w:color w:val="1B2430"/>
                <w:sz w:val="21"/>
              </w:rPr>
              <w:t xml:space="preserve"> I pusm. pelnas 144,6 mln. EUR (+7 %), reitingas Baa2 stabilus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B2430"/>
                <w:sz w:val="21"/>
              </w:rPr>
              <w:t>. Skola auga dėl didelių investicijų į atsinaujinančią energetiką: grynoji skola / EBITDA 2,4x (prieš metus 1,5x), tačiau FFO / grynoji skola 35 % vis dar viršija strategijos tikslą (&gt;25 %)</w:t>
            </w:r>
            <w:hyperlink r:id="rId16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284,6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4,7 %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Grynasis pelnas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144,6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6,9 %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Grynoji skola / 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2,4</w:t>
            </w:r>
            <w:r>
              <w:rPr>
                <w:b w:val="0"/>
                <w:color w:val="667085"/>
                <w:sz w:val="18"/>
              </w:rPr>
              <w:t xml:space="preserve"> x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0,9x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FFO / grynoji skola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35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22 p. p. vs 6M2025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Pelnas auga:</w:t>
      </w:r>
      <w:r>
        <w:rPr>
          <w:b w:val="0"/>
        </w:rPr>
        <w:t xml:space="preserve"> I pusm. pajamos 941,8 mln. EUR (+11 %), EBITDA 284,6 mln. EUR (+5 %), grynasis pelnas 144,6 mln. EUR (135,3 mln.)</w:t>
      </w:r>
      <w:hyperlink r:id="rId13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Daugiau gamybos:</w:t>
      </w:r>
      <w:r>
        <w:rPr>
          <w:b w:val="0"/>
        </w:rPr>
        <w:t xml:space="preserve"> pagaminta 3 336 GWh elektros, prieš metus 2 603 GWh. 2025 m. 66 % elektros pagaminta iš atsinaujinančių šaltinių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color w:val="2A78D6"/>
          <w:vertAlign w:val="superscript"/>
        </w:rPr>
        <w:t>,</w:t>
      </w:r>
      <w:hyperlink r:id="rId17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Skola auga dėl investicijų:</w:t>
      </w:r>
      <w:r>
        <w:rPr>
          <w:b w:val="0"/>
        </w:rPr>
        <w:t xml:space="preserve"> grynoji skola 1 372,1 mln. EUR (843,1 mln.), grynoji skola / EBITDA 2,4x (1,5x). Investicijos per pusmetį 255,5 mln. EUR, 2025 m. – rekordinės 792,1 mln. EUR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color w:val="2A78D6"/>
          <w:vertAlign w:val="superscript"/>
        </w:rPr>
        <w:t>,</w:t>
      </w:r>
      <w:hyperlink r:id="rId18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Finansavimas pigus:</w:t>
      </w:r>
      <w:r>
        <w:rPr>
          <w:b w:val="0"/>
        </w:rPr>
        <w:t xml:space="preserve"> 2026 m. birželį išleista 300 mln. EUR 7 metų žaliųjų obligacijų, pajamingumas 1,3 %</w:t>
      </w:r>
      <w:hyperlink r:id="rId19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Priemonė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Kuponas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Išpirkimas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Emisijos reitingas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Pastaba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LV0000802684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Latvenergo 4.952% 6Y green bond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Žalioji obligacija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4,952 %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2029-02-22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Green bond; Moody's Baa2; issue date = listing date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LV0000870129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Latvenergo 2.42% 5Y green bond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Žalioji obligacija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2,42 %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2027-05-05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Green bond; Moody's Baa2; issue date = listing date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LV0000802460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Latvenergo 0.5% 7Y green bond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Žalioji obligacija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0,5 %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2028-05-17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Green bond; Moody's Baa2; issue date = listing date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XS3227294132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Latvenergo 3.612% 5Y green bond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Žalioji obligacija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3,612 %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2030-11-13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Green bond; Moody's Baa2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254"/>
        <w:gridCol w:w="1314"/>
        <w:gridCol w:w="1314"/>
        <w:gridCol w:w="1314"/>
        <w:gridCol w:w="2441"/>
      </w:tblGrid>
      <w:tr>
        <w:tc>
          <w:tcPr>
            <w:tcW w:type="dxa" w:w="325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Rodiklis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6M2025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Pajamos,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1 566,1*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847,1*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941,8*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11,2 %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EBITDA, mln. EUR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271,7*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284,6*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4,7 %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pelnas, mln. EUR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198,8*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135,3*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144,6*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6,9 %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Investicijos,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792,1*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391,8*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255,5*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34,8 %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skola, mln. EUR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843,1*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1 372,1*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62,7 %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skola / EBITDA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1,5x*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2,4x*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0,9x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FFO / grynoji skola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39 %*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57 %*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35 %*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22 p. p.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5,2 %*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6,9 %*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1,7 p. p.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Nuosavas kapitalas, mln. EUR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2 969,5*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3 035,9*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2,2 %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Turtas,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4 967,5*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4 471,3*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5 259,6*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17,6 %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Nuosavo kapitalo dalis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66,4 %ᶜ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57,7 %ᶜ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8,7 p. p.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Pagaminta elektros, GWh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4 696*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2 603*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3 336*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28,2 % vs 6M2025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Spalvos: žalias pokytis – rodiklis gerėja, raudonas – blogėja. Paskutinio laikotarpio langelio fonas: žalias – geras lygis, geltonas – vidutinis, raudonas – silpnas (vidiniai orientyrai,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paimta iš ataskaitos santraukos;  ᶜ – mūsų skaičiavimas.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venergo_l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Atsinaujinančios energetikos plėtra:</w:t>
      </w:r>
      <w:r>
        <w:rPr>
          <w:b w:val="0"/>
        </w:rPr>
        <w:t xml:space="preserve"> birželio pabaigoje įrengta 937 MW vėjo ir saulės jėgainių, patvirtintas 1 144 MW projektų portfelis; strategijos tikslas – 600 MW iki 2026 m., 2 300 MW iki 2030 m.</w:t>
      </w:r>
      <w:hyperlink r:id="rId23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Gamybos struktūra 2025 m.:</w:t>
      </w:r>
      <w:r>
        <w:rPr>
          <w:b w:val="0"/>
        </w:rPr>
        <w:t xml:space="preserve"> hidroelektrinės 2 882 GWh (61 %), dujomis kūrenamos Rygos termofikacinės elektrinės 1 587 GWh (34 %), vėjo ir saulės jėgainės 209 GWh (dalys – mūsų skaičiavimas)</w:t>
      </w:r>
      <w:hyperlink r:id="rId21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2026-08-22 stipri audra sukėlė plačius elektros tiekimo sutrikimus</w:t>
      </w:r>
      <w:hyperlink r:id="rId19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pajamos 1 566,1 mln. EUR (2024 m. – 1 703,6 mln.), pelnas 198,8 mln. EUR (273,7 mln., −74,8 mln.); FFO / grynoji skola 39 %</w:t>
      </w:r>
      <w:hyperlink r:id="rId18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Nuosavas kapitalas 3 035,9 mln. EUR, turtas 5 259,6 mln. EUR – nuosavo kapitalo dalis 57,7 % (mūsų skaičiavimas); ROE 6,9 % (5,2 %)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Dividendai valstybei:</w:t>
      </w:r>
      <w:r>
        <w:rPr>
          <w:b w:val="0"/>
        </w:rPr>
        <w:t xml:space="preserve"> 2026-05-27 patvirtinta 141,0 mln. EUR iš 2025 m. pelno, dviem dalimis po 70,5 mln. EUR (birželį ir iki lapkričio 30 d.)</w:t>
      </w:r>
      <w:hyperlink r:id="rId24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Planas / tikslas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Rezultatas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Kas pasikeitė ir kodėl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Strategija 2022–2026: ROE &gt;7 %, koreguotas FFO / grynoji skola &gt;25 %, Moody's reitingas ≥ Baa3, dividendai &gt;64 % pelno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6M 2026: ROE 6,9 %, FFO / grynoji skola 35 %, reitingas Baa2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Iš dalies: reitingo ir FFO tikslai vykdomi; ROE (6,9 %) arti 7 % tikslo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</w:pPr>
            <w:r>
              <w:rPr>
                <w:b/>
                <w:sz w:val="17"/>
              </w:rPr>
              <w:t>Iš dalies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Pastatyti ar įsigyti 600 MW vėjo ir saulės jėgainių iki 2026 m.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2026-06-30 – 937 MW įrengta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Įvykdyta su perviršiu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Įvykdyta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2 300 MW atsinaujinančių šaltinių iki 2030 m.; bent 250 MW / 500 MWh kaupimo iki 2030 m.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Patvirtintas 1 144 MW projektų portfelis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Ilgalaikis tikslas, finansuojamas žaliosiomis obligacijomis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Klimato neutrali elektros gamyba iki 2040 m.; 1 apimties emisijas sumažinti 47 % iki 2030 m. (palyginti su 2021 m.)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2025 m. – −17 %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19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Vykdoma; pažanga priklauso nuo dujinių elektrinių darbo valandų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19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Turimos priemonės:</w:t>
      </w:r>
      <w:r>
        <w:rPr>
          <w:b w:val="0"/>
        </w:rPr>
        <w:t xml:space="preserve"> keturios žaliosios obligacijos – 2,42 % 2027 (100 mln. EUR), 0,5 % 2028 (50 mln. EUR), 4,952 % 2029 (50 mln. EUR) ir 3,612 % 2030 (400 mln. EUR)</w:t>
      </w:r>
      <w:hyperlink r:id="rId27">
        <w:r>
          <w:rPr>
            <w:color w:val="2A78D6"/>
            <w:vertAlign w:val="superscript"/>
            <w:sz w:val="17"/>
          </w:rPr>
          <w:t xml:space="preserve">20</w:t>
        </w:r>
      </w:hyperlink>
      <w:r>
        <w:rPr>
          <w:color w:val="2A78D6"/>
          <w:vertAlign w:val="superscript"/>
        </w:rPr>
        <w:t>,</w:t>
      </w:r>
      <w:hyperlink r:id="rId28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color w:val="2A78D6"/>
          <w:vertAlign w:val="superscript"/>
        </w:rPr>
        <w:t>,</w:t>
      </w:r>
      <w:hyperlink r:id="rId29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color w:val="2A78D6"/>
          <w:vertAlign w:val="superscript"/>
        </w:rPr>
        <w:t>,</w:t>
      </w:r>
      <w:hyperlink r:id="rId30">
        <w:r>
          <w:rPr>
            <w:color w:val="2A78D6"/>
            <w:vertAlign w:val="superscript"/>
            <w:sz w:val="17"/>
          </w:rPr>
          <w:t xml:space="preserve">23</w:t>
        </w:r>
      </w:hyperlink>
      <w:r>
        <w:rPr>
          <w:b w:val="0"/>
        </w:rPr>
        <w:t>. Moody's žaliosioms obligacijoms suteikė Baa2 reitingą</w:t>
      </w:r>
      <w:hyperlink r:id="rId31">
        <w:r>
          <w:rPr>
            <w:color w:val="2A78D6"/>
            <w:vertAlign w:val="superscript"/>
            <w:sz w:val="17"/>
          </w:rPr>
          <w:t xml:space="preserve">24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Artimiausias išpirkimas:</w:t>
      </w:r>
      <w:r>
        <w:rPr>
          <w:b w:val="0"/>
        </w:rPr>
        <w:t xml:space="preserve"> 2,42 % obligacija – 2027-05-05. Bendrovė pinigų turi: 2026 m. birželį pasiskolinta 300 mln. EUR už 1,3 %</w:t>
      </w:r>
      <w:hyperlink r:id="rId28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color w:val="2A78D6"/>
          <w:vertAlign w:val="superscript"/>
        </w:rPr>
        <w:t>,</w:t>
      </w:r>
      <w:hyperlink r:id="rId19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Valstybės nuosavybė (100 %)</w:t>
      </w:r>
      <w:r>
        <w:rPr>
          <w:b w:val="0"/>
        </w:rPr>
        <w:t xml:space="preserve"> ir dividendų politika (&gt;64 % pelno) reiškia, kad dalis pinigų išeina valstybei, tačiau reitingo tikslas (≥ Baa3) apriboja skolinimąsi</w:t>
      </w:r>
      <w:hyperlink r:id="rId16">
        <w:r>
          <w:rPr>
            <w:color w:val="2A78D6"/>
            <w:vertAlign w:val="superscript"/>
            <w:sz w:val="17"/>
          </w:rPr>
          <w:t xml:space="preserve">25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verslas pelningas, skolinimasis didėja pagal planą, kredito rodikliai – virš strategijos ribų.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Rinka ir aplinka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Šaltis kėlė pardavimus:</w:t>
      </w:r>
      <w:r>
        <w:rPr>
          <w:b w:val="0"/>
        </w:rPr>
        <w:t xml:space="preserve"> pajamos +11 % iki 941,8 mln. EUR dėl didesnių dujų, elektros ir šilumos pardavimų šaltą metų pradžią; EBITDA +5 % iki 284,6 mln. EUR – nauji saulės ir vėjo parkai, didesnė termofikacinių elektrinių gamyba</w:t>
      </w:r>
      <w:hyperlink r:id="rId23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Elektros kainos:</w:t>
      </w:r>
      <w:r>
        <w:rPr>
          <w:b w:val="0"/>
        </w:rPr>
        <w:t xml:space="preserve"> Latvijoje vidutinė kaina 102,6 EUR/MWh (prieš metus 87,3); Šiaurės šalių sistemos kaina daugiau nei padvigubėjo dėl šalčio, didesnės paklausos ir mažesnių hidroresursų (22 TWh žemiau ilgalaikio vidurkio)</w:t>
      </w:r>
      <w:hyperlink r:id="rId32">
        <w:r>
          <w:rPr>
            <w:color w:val="2A78D6"/>
            <w:vertAlign w:val="superscript"/>
            <w:sz w:val="17"/>
          </w:rPr>
          <w:t xml:space="preserve">26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Daugava ir dujos:</w:t>
      </w:r>
      <w:r>
        <w:rPr>
          <w:b w:val="0"/>
        </w:rPr>
        <w:t xml:space="preserve"> Daugavos HE gamyba –4 % iki 1,6 TWh, nes upės prietaka 24 % mažesnė už ilgalaikį vidurkį</w:t>
      </w:r>
      <w:hyperlink r:id="rId33">
        <w:r>
          <w:rPr>
            <w:color w:val="2A78D6"/>
            <w:vertAlign w:val="superscript"/>
            <w:sz w:val="17"/>
          </w:rPr>
          <w:t xml:space="preserve">27</w:t>
        </w:r>
      </w:hyperlink>
      <w:r>
        <w:rPr>
          <w:b w:val="0"/>
        </w:rPr>
        <w:t>; dujų TTF kaina vidutiniškai 40 EUR/MWh (–7 %), ES saugyklų užpildymas 38 % (prieš metus 46 %)</w:t>
      </w:r>
      <w:hyperlink r:id="rId24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Perspektyva:</w:t>
      </w:r>
      <w:r>
        <w:rPr>
          <w:b w:val="0"/>
        </w:rPr>
        <w:t xml:space="preserve"> nauji vėjo ir saulės parkai bus paleidžiami 2026–2027 m.; juos užbaigus metinė gamyba padidės apie 2,2 TWh</w:t>
      </w:r>
      <w:hyperlink r:id="rId34">
        <w:r>
          <w:rPr>
            <w:color w:val="2A78D6"/>
            <w:vertAlign w:val="superscript"/>
            <w:sz w:val="17"/>
          </w:rPr>
          <w:t xml:space="preserve">28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Dabar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3 mėn.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12 mėn.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 per 12 mėn.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indėlių palūkanų norma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2,50 %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2,25 %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2,64 %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2,34 %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2,03 %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2,92 %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3,25 %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2,17 %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1,08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AAA vyriausybių 10 m. pajamingumas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3,37 %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3,23 %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2,72 %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0,65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infliacija (SVKI, metinė)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1,90 %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0,50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zonos palūkanos ir infliacija (ECB duomenys, mėnesio pabaigos reikšmė; Euribor ir infliacija – mėnesio vidurkis). Svarbu kintamų palūkanų ir perkainojamoms (reset) obligacijoms bei refinansavimo kaštams.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Ką rašo spauda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Vadovai:</w:t>
      </w:r>
      <w:r>
        <w:rPr>
          <w:b w:val="0"/>
        </w:rPr>
        <w:t xml:space="preserve"> 2026-10-05 valdybos narys Māris Kuņickis palieka bendrovę</w:t>
      </w:r>
      <w:hyperlink r:id="rId35">
        <w:r>
          <w:rPr>
            <w:color w:val="2A78D6"/>
            <w:vertAlign w:val="superscript"/>
            <w:sz w:val="17"/>
          </w:rPr>
          <w:t xml:space="preserve">29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Tet ir LMT:</w:t>
      </w:r>
      <w:r>
        <w:rPr>
          <w:b w:val="0"/>
        </w:rPr>
        <w:t xml:space="preserve"> 2026-10-22 rašyta, kad Latvenergo pasirengusi tęsti bendradarbiavimą Tet ir LMT dalių išpirkimo procese</w:t>
      </w:r>
      <w:hyperlink r:id="rId36">
        <w:r>
          <w:rPr>
            <w:color w:val="2A78D6"/>
            <w:vertAlign w:val="superscript"/>
            <w:sz w:val="17"/>
          </w:rPr>
          <w:t xml:space="preserve">30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Dujų kainos:</w:t>
      </w:r>
      <w:r>
        <w:rPr>
          <w:b w:val="0"/>
        </w:rPr>
        <w:t xml:space="preserve"> 2026-10-14 bendrovės analitikė įspėjo, kad gamtinės dujos tokios brangios nebuvo keletą metų</w:t>
      </w:r>
      <w:hyperlink r:id="rId37">
        <w:r>
          <w:rPr>
            <w:color w:val="2A78D6"/>
            <w:vertAlign w:val="superscript"/>
            <w:sz w:val="17"/>
          </w:rPr>
          <w:t xml:space="preserve">31</w:t>
        </w:r>
      </w:hyperlink>
      <w:r>
        <w:rPr>
          <w:b w:val="0"/>
        </w:rPr>
        <w:t>.</w:t>
      </w:r>
    </w:p>
    <w:p>
      <w:pPr>
        <w:spacing w:before="40" w:after="60"/>
      </w:pPr>
      <w:r>
        <w:rPr>
          <w:b w:val="0"/>
          <w:color w:val="667085"/>
          <w:sz w:val="18"/>
        </w:rPr>
        <w:t>Automatinė naujienų paieška (Google News, LV), 2026-07-30 – 2026-10-28: 14 pranešimų.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2026-10-27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9A6400"/>
                <w:sz w:val="14"/>
                <w:shd w:val="clear" w:color="auto" w:fill="FDF1D8"/>
              </w:rPr>
              <w:t xml:space="preserve"> SANDORIS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8">
              <w:r>
                <w:rPr>
                  <w:color w:val="1B2430"/>
                  <w:sz w:val="18"/>
                </w:rPr>
                <w:t xml:space="preserve">"Latvenergo" un "Rīgas siltums" vienojušies par siltumenerģijas piegādi par samazinātu cenu apkures sezonā</w:t>
              </w:r>
            </w:hyperlink>
            <w:r>
              <w:rPr>
                <w:b w:val="0"/>
                <w:color w:val="667085"/>
                <w:sz w:val="15"/>
              </w:rPr>
              <w:t xml:space="preserve">   1188.lv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2026-10-05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VADOVAI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5">
              <w:r>
                <w:rPr>
                  <w:color w:val="1B2430"/>
                  <w:sz w:val="18"/>
                </w:rPr>
                <w:t xml:space="preserve">"Latvenergo" valdes loceklis Māris Kuņickis atstāj darbu uzņēmumā</w:t>
              </w:r>
            </w:hyperlink>
            <w:r>
              <w:rPr>
                <w:b w:val="0"/>
                <w:color w:val="667085"/>
                <w:sz w:val="15"/>
              </w:rPr>
              <w:t xml:space="preserve">   Jauns.lv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2026-10-27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9">
              <w:r>
                <w:rPr>
                  <w:color w:val="1B2430"/>
                  <w:sz w:val="18"/>
                </w:rPr>
                <w:t xml:space="preserve">Apkure Rīgā var kļūt par 30% dārgāka! “Latvenergo” un “Rīgas siltums” meklē veidus, kā cenu mazināt</w:t>
              </w:r>
            </w:hyperlink>
            <w:r>
              <w:rPr>
                <w:b w:val="0"/>
                <w:color w:val="667085"/>
                <w:sz w:val="15"/>
              </w:rPr>
              <w:t xml:space="preserve">   LA.LV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2026-10-27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0">
              <w:r>
                <w:rPr>
                  <w:color w:val="1B2430"/>
                  <w:sz w:val="18"/>
                </w:rPr>
                <w:t xml:space="preserve">Internets no Latvenergo: ko piedāvā jaunā sadarbība ar Tet un Biti</w:t>
              </w:r>
            </w:hyperlink>
            <w:r>
              <w:rPr>
                <w:b w:val="0"/>
                <w:color w:val="667085"/>
                <w:sz w:val="15"/>
              </w:rPr>
              <w:t xml:space="preserve">   Dzentlmenis.lv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2026-10-26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1">
              <w:r>
                <w:rPr>
                  <w:color w:val="1B2430"/>
                  <w:sz w:val="18"/>
                </w:rPr>
                <w:t xml:space="preserve">"Latvenergo" sāk piedāvāt interneta pakalpojumus sadarbībā ar "Tet" un "Bite Latvija"</w:t>
              </w:r>
            </w:hyperlink>
            <w:r>
              <w:rPr>
                <w:b w:val="0"/>
                <w:color w:val="667085"/>
                <w:sz w:val="15"/>
              </w:rPr>
              <w:t xml:space="preserve">   BauskasDzive.lv  ·  dar 2 panašūs pranešimai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6">
              <w:r>
                <w:rPr>
                  <w:color w:val="1B2430"/>
                  <w:sz w:val="18"/>
                </w:rPr>
                <w:t xml:space="preserve">"Latvenergo" gatava turpināt sadarbību "Tet" un LMT daļu izpirkšanas procesā</w:t>
              </w:r>
            </w:hyperlink>
            <w:r>
              <w:rPr>
                <w:b w:val="0"/>
                <w:color w:val="667085"/>
                <w:sz w:val="15"/>
              </w:rPr>
              <w:t xml:space="preserve">   TVNET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2026-10-21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2">
              <w:r>
                <w:rPr>
                  <w:color w:val="1B2430"/>
                  <w:sz w:val="18"/>
                </w:rPr>
                <w:t xml:space="preserve">Vai ziemā pietiks gāzes un kas notiks ar cenām? «Latvenergo» skaidro situāciju pirms apkures sezonas</w:t>
              </w:r>
            </w:hyperlink>
            <w:r>
              <w:rPr>
                <w:b w:val="0"/>
                <w:color w:val="667085"/>
                <w:sz w:val="15"/>
              </w:rPr>
              <w:t xml:space="preserve">   bb.lv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2026-10-15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3">
              <w:r>
                <w:rPr>
                  <w:color w:val="1B2430"/>
                  <w:sz w:val="18"/>
                </w:rPr>
                <w:t xml:space="preserve">Piecu gadu laikā dubultojusies Latvenergo vērtība</w:t>
              </w:r>
            </w:hyperlink>
            <w:r>
              <w:rPr>
                <w:b w:val="0"/>
                <w:color w:val="667085"/>
                <w:sz w:val="15"/>
              </w:rPr>
              <w:t xml:space="preserve">   Investoru Klubs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2026-10-14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4">
              <w:r>
                <w:rPr>
                  <w:color w:val="1B2430"/>
                  <w:sz w:val="18"/>
                </w:rPr>
                <w:t xml:space="preserve">Latvenergo : Dabasgāzes cenas sasniedz augstāko līmeni gandrīz četru gadu laikā</w:t>
              </w:r>
            </w:hyperlink>
            <w:r>
              <w:rPr>
                <w:b w:val="0"/>
                <w:color w:val="667085"/>
                <w:sz w:val="15"/>
              </w:rPr>
              <w:t xml:space="preserve">   Diena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2026-10-14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5">
              <w:r>
                <w:rPr>
                  <w:color w:val="1B2430"/>
                  <w:sz w:val="18"/>
                </w:rPr>
                <w:t xml:space="preserve">Tik dārga gāze nav bijusi gadiem: "Latvenergo" analītiķe brīdina par saspringtu situāciju pirms apkures sezonas</w:t>
              </w:r>
            </w:hyperlink>
            <w:r>
              <w:rPr>
                <w:b w:val="0"/>
                <w:color w:val="667085"/>
                <w:sz w:val="15"/>
              </w:rPr>
              <w:t xml:space="preserve">   Dzentlmenis.lv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Ginklų, tabako ir azartinių lošimų veiklos nėra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Anglies ir naftos gavybos nėra.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Dvi Rygos termofikacinės elektrinės kūrenamos gamtinėmis dujomis (2025 m. – 34 % gamybos)</w:t>
            </w:r>
            <w:hyperlink r:id="rId21">
              <w:r>
                <w:rPr>
                  <w:color w:val="2A78D6"/>
                  <w:vertAlign w:val="superscript"/>
                  <w:sz w:val="15"/>
                </w:rPr>
                <w:t xml:space="preserve">12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iškastinio kuro politika riboja anglį ir naftos bei dujų gavybą, ne dujinę gamybą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Ginčų pagal JT Pasaulinį susitarimą ar EBPO gaires nerasta.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Korupcijos ar etikos pažeidimų su reikšmingu poveikiu 2024–2025 m. – 0</w:t>
            </w:r>
            <w:hyperlink r:id="rId47">
              <w:r>
                <w:rPr>
                  <w:color w:val="2A78D6"/>
                  <w:vertAlign w:val="superscript"/>
                  <w:sz w:val="15"/>
                </w:rPr>
                <w:t xml:space="preserve">33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2020 m. pirkimų istorijoje KNAB baudžiamąją bylą nutraukė, pažeidimų nenustatyta</w:t>
            </w:r>
            <w:hyperlink r:id="rId48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US OFAC konsoliduotuose sankcijų sąrašuose (automatinė patikra 2026-10-28).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Rankinė patikra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sankcijų paieška</w:t>
            </w:r>
            <w:hyperlink r:id="rId49">
              <w:r>
                <w:rPr>
                  <w:color w:val="2A78D6"/>
                  <w:vertAlign w:val="superscript"/>
                  <w:sz w:val="15"/>
                </w:rPr>
                <w:t xml:space="preserve">35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 sankcijų žemėlapis</w:t>
            </w:r>
            <w:hyperlink r:id="rId50">
              <w:r>
                <w:rPr>
                  <w:color w:val="2A78D6"/>
                  <w:vertAlign w:val="superscript"/>
                  <w:sz w:val="15"/>
                </w:rPr>
                <w:t xml:space="preserve">36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(vidinė SEB sistema).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Neigiamų naujienų nerasta (paieška latvių ir anglų k., 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2026-07-30 – 2026-10-28: 14 pranešimų, iš jų su neigiamu žodžiu antraštėje – 0 (plačiau – skiltyje „Ką rašo spauda“).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66 % elektros – iš atsinaujinančių šaltinių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6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S&amp;P Global CSA – 54 balai, tarp 30 % geriausių pasaulio elektros įmonių</w:t>
            </w:r>
            <w:hyperlink r:id="rId51">
              <w:r>
                <w:rPr>
                  <w:color w:val="2A78D6"/>
                  <w:vertAlign w:val="superscript"/>
                  <w:sz w:val="15"/>
                </w:rPr>
                <w:t xml:space="preserve">37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Moody's ESG kredito poveikio balas CIS-2</w:t>
            </w:r>
            <w:hyperlink r:id="rId18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Visos obligacijos – žaliosios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9">
              <w:r>
                <w:rPr>
                  <w:color w:val="2A78D6"/>
                  <w:vertAlign w:val="superscript"/>
                  <w:sz w:val="15"/>
                </w:rPr>
                <w:t xml:space="preserve">22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Tikslas – klimato neutralumas iki 2050 m., neutrali elektros gamyba iki 2040 m.</w:t>
            </w:r>
            <w:hyperlink r:id="rId52">
              <w:r>
                <w:rPr>
                  <w:color w:val="2A78D6"/>
                  <w:vertAlign w:val="superscript"/>
                  <w:sz w:val="15"/>
                </w:rPr>
                <w:t xml:space="preserve">38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Su ES taksonomija suderintos investicijos – 97 % (tikslas ≥80 %)</w:t>
            </w:r>
            <w:hyperlink r:id="rId47">
              <w:r>
                <w:rPr>
                  <w:color w:val="2A78D6"/>
                  <w:vertAlign w:val="superscript"/>
                  <w:sz w:val="15"/>
                </w:rPr>
                <w:t xml:space="preserve">39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Geltonų signalų nerasta.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Rimtų nelaimingų atsitikimų ir didelių taršos atvejų 2024–2025 m. – 0</w:t>
            </w:r>
            <w:hyperlink r:id="rId53">
              <w:r>
                <w:rPr>
                  <w:color w:val="2A78D6"/>
                  <w:vertAlign w:val="superscript"/>
                  <w:sz w:val="15"/>
                </w:rPr>
                <w:t xml:space="preserve">40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Investicijų politika</w:t>
            </w:r>
            <w:hyperlink r:id="rId54">
              <w:r>
                <w:rPr>
                  <w:color w:val="2A78D6"/>
                  <w:vertAlign w:val="superscript"/>
                  <w:sz w:val="15"/>
                </w:rPr>
                <w:t xml:space="preserve">41</w:t>
              </w:r>
            </w:hyperlink>
            <w:r>
              <w:rPr>
                <w:b w:val="0"/>
                <w:color w:val="333333"/>
                <w:sz w:val="18"/>
              </w:rPr>
              <w:t>, elektros ir atsinaujinančios energetikos politika</w:t>
            </w:r>
            <w:hyperlink r:id="rId54">
              <w:r>
                <w:rPr>
                  <w:color w:val="2A78D6"/>
                  <w:vertAlign w:val="superscript"/>
                  <w:sz w:val="15"/>
                </w:rPr>
                <w:t xml:space="preserve">42</w:t>
              </w:r>
            </w:hyperlink>
            <w:r>
              <w:rPr>
                <w:b w:val="0"/>
                <w:color w:val="333333"/>
                <w:sz w:val="18"/>
              </w:rPr>
              <w:t xml:space="preserve"> ir iškastinio kuro politika dėl dujinių elektrinių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43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Emisijų mažinimo tikslai (2030 ir 2040 m.)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19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2024 m. visų apimčių emisijos nepriklausomai patikrintos</w:t>
            </w:r>
            <w:hyperlink r:id="rId55">
              <w:r>
                <w:rPr>
                  <w:color w:val="2A78D6"/>
                  <w:vertAlign w:val="superscript"/>
                  <w:sz w:val="15"/>
                </w:rPr>
                <w:t xml:space="preserve">44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ISO 50001 energijos valdymas</w:t>
            </w:r>
            <w:hyperlink r:id="rId56">
              <w:r>
                <w:rPr>
                  <w:color w:val="2A78D6"/>
                  <w:vertAlign w:val="superscript"/>
                  <w:sz w:val="15"/>
                </w:rPr>
                <w:t xml:space="preserve">45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Korupcijos atvejų – 0, sukčiavimo rizikos valdymo planas</w:t>
            </w:r>
            <w:hyperlink r:id="rId47">
              <w:r>
                <w:rPr>
                  <w:color w:val="2A78D6"/>
                  <w:vertAlign w:val="superscript"/>
                  <w:sz w:val="15"/>
                </w:rPr>
                <w:t xml:space="preserve">46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Anglies nėra.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Galėtų būti geriau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Absoliučios 1–3 apimties emisijos ataskaitos tekste nerastos.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Nereikia: aiški perėjimo prie atsinaujinančios energetikos strategija ir tvarkinga ESG praktika.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Elektros gamybos emisijų intensyvumas 0,100 t CO2/MWh 2025 m. (tikslas 0,06 iki 2030 m.)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1 apimties emisijos −17 % nuo 2021 m.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19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Taksonomiją atitinkančios investicijos 97 %</w:t>
            </w:r>
            <w:hyperlink r:id="rId47">
              <w:r>
                <w:rPr>
                  <w:color w:val="2A78D6"/>
                  <w:vertAlign w:val="superscript"/>
                  <w:sz w:val="15"/>
                </w:rPr>
                <w:t xml:space="preserve">39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Atsinaujinančių šaltinių dalis 66 %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Išimčių ir raudonų signalų nėra. Daugiausia hidroenergija, sparčiai auga vėjo ir saulės gamyba, aiškūs klimato tikslai; dujinės elektrinės lieka rezervu.</w:t>
      </w:r>
    </w:p>
    <w:p>
      <w:pPr>
        <w:spacing w:before="40" w:after="60"/>
      </w:pPr>
      <w:r>
        <w:rPr>
          <w:b w:val="0"/>
          <w:color w:val="667085"/>
          <w:sz w:val="16"/>
        </w:rPr>
        <w:t>Taikytos SEB politikos: Policy on Sustainability Considerations in Investments (SEB AB); Fossil Fuels sector policy (coal, oil &amp; gas, peat); Electricity &amp; Renewable Energy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Latvenergo Group - Annual report 2025, p. 24,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Latvenergo Group - Interim report 6M 2026 (unaudited), p. 12,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Latvenergo Group - Interim report 6M 2026 (unaudited),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6">
        <w:r>
          <w:rPr>
            <w:color w:val="2A78D6"/>
            <w:sz w:val="17"/>
          </w:rPr>
          <w:t xml:space="preserve">Latvenergo Group - Interim report 6M 2026 (unaudited), p. 7, 12,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3">
        <w:r>
          <w:rPr>
            <w:color w:val="2A78D6"/>
            <w:sz w:val="17"/>
          </w:rPr>
          <w:t xml:space="preserve">Latvenergo Group - Interim report 6M 2026 (unaudited), p. 12, 15,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7">
        <w:r>
          <w:rPr>
            <w:color w:val="2A78D6"/>
            <w:sz w:val="17"/>
          </w:rPr>
          <w:t xml:space="preserve">Latvenergo Group - Annual report 2025, p. 9,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8">
        <w:r>
          <w:rPr>
            <w:color w:val="2A78D6"/>
            <w:sz w:val="17"/>
          </w:rPr>
          <w:t xml:space="preserve">Latvenergo Group - Annual report 2025, p. 8,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9">
        <w:r>
          <w:rPr>
            <w:color w:val="2A78D6"/>
            <w:sz w:val="17"/>
          </w:rPr>
          <w:t xml:space="preserve">Latvenergo Group - Interim report 6M 2026 (unaudited), p. 5,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20">
        <w:r>
          <w:rPr>
            <w:color w:val="2A78D6"/>
            <w:sz w:val="17"/>
          </w:rPr>
          <w:t xml:space="preserve">Latvenergo Group - Interim report 6M 2026 (unaudited), p. 15,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21">
        <w:r>
          <w:rPr>
            <w:color w:val="2A78D6"/>
            <w:sz w:val="17"/>
          </w:rPr>
          <w:t xml:space="preserve">Latvenergo Group - Annual report 2025, p. 12,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3">
        <w:r>
          <w:rPr>
            <w:color w:val="2A78D6"/>
            <w:sz w:val="17"/>
          </w:rPr>
          <w:t xml:space="preserve">Latvenergo Group - Interim report 6M 2026 (unaudited), p. 3, 8-9,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1">
        <w:r>
          <w:rPr>
            <w:color w:val="2A78D6"/>
            <w:sz w:val="17"/>
          </w:rPr>
          <w:t xml:space="preserve">Latvenergo Group - Annual report 2025, p. 12-13,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18">
        <w:r>
          <w:rPr>
            <w:color w:val="2A78D6"/>
            <w:sz w:val="17"/>
          </w:rPr>
          <w:t xml:space="preserve">Latvenergo Group - Annual report 2025, p. 8, 24,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4">
        <w:r>
          <w:rPr>
            <w:color w:val="2A78D6"/>
            <w:sz w:val="17"/>
          </w:rPr>
          <w:t xml:space="preserve">Latvenergo Group - Interim report 6M 2026 (unaudited), p. 14,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16">
        <w:r>
          <w:rPr>
            <w:color w:val="2A78D6"/>
            <w:sz w:val="17"/>
          </w:rPr>
          <w:t xml:space="preserve">Latvenergo Group - Interim report 6M 2026 (unaudited), p. 7-8, 12,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3">
        <w:r>
          <w:rPr>
            <w:color w:val="2A78D6"/>
            <w:sz w:val="17"/>
          </w:rPr>
          <w:t xml:space="preserve">Latvenergo Group - Interim report 6M 2026 (unaudited), p. 3, 8,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3">
        <w:r>
          <w:rPr>
            <w:color w:val="2A78D6"/>
            <w:sz w:val="17"/>
          </w:rPr>
          <w:t xml:space="preserve">Latvenergo Group - Interim report 6M 2026 (unaudited), p. 3,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5">
        <w:r>
          <w:rPr>
            <w:color w:val="2A78D6"/>
            <w:sz w:val="17"/>
          </w:rPr>
          <w:t xml:space="preserve">Latvenergo Group - Interim report 6M 2026 (unaudited), p. 8-9,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6">
        <w:r>
          <w:rPr>
            <w:color w:val="2A78D6"/>
            <w:sz w:val="17"/>
          </w:rPr>
          <w:t xml:space="preserve">Latvenergo Group - Annual report 2025, p. 27,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7">
        <w:r>
          <w:rPr>
            <w:color w:val="2A78D6"/>
            <w:sz w:val="17"/>
          </w:rPr>
          <w:t xml:space="preserve">Nasdaq Baltic - Latvenergo 4.952% green bond LV0000802684,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28">
        <w:r>
          <w:rPr>
            <w:color w:val="2A78D6"/>
            <w:sz w:val="17"/>
          </w:rPr>
          <w:t xml:space="preserve">Nasdaq Baltic - Latvenergo 2.42% green bond LV0000870129,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29">
        <w:r>
          <w:rPr>
            <w:color w:val="2A78D6"/>
            <w:sz w:val="17"/>
          </w:rPr>
          <w:t xml:space="preserve">Nasdaq Baltic - Latvenergo 0.5% green bond LV0000802460,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30">
        <w:r>
          <w:rPr>
            <w:color w:val="2A78D6"/>
            <w:sz w:val="17"/>
          </w:rPr>
          <w:t xml:space="preserve">Nasdaq Baltic - Latvenergo 3.612% green bond XS3227294132,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31">
        <w:r>
          <w:rPr>
            <w:color w:val="2A78D6"/>
            <w:sz w:val="17"/>
          </w:rPr>
          <w:t xml:space="preserve">Latvenergo Group - Annual report 2025,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16">
        <w:r>
          <w:rPr>
            <w:color w:val="2A78D6"/>
            <w:sz w:val="17"/>
          </w:rPr>
          <w:t xml:space="preserve">Latvenergo Group - Interim report 6M 2026 (unaudited), p. 7-8,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32">
        <w:r>
          <w:rPr>
            <w:color w:val="2A78D6"/>
            <w:sz w:val="17"/>
          </w:rPr>
          <w:t xml:space="preserve">Latvenergo Group - Interim report 6M 2026 (unaudited), p. 13,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33">
        <w:r>
          <w:rPr>
            <w:color w:val="2A78D6"/>
            <w:sz w:val="17"/>
          </w:rPr>
          <w:t xml:space="preserve">Latvenergo Group - Interim report 6M 2026 (unaudited), p. 18,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28.</w:t>
        <w:tab/>
      </w:r>
      <w:hyperlink r:id="rId34">
        <w:r>
          <w:rPr>
            <w:color w:val="2A78D6"/>
            <w:sz w:val="17"/>
          </w:rPr>
          <w:t xml:space="preserve">Latvenergo Group - Interim report 6M 2026 (unaudited), p. 17,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29.</w:t>
        <w:tab/>
      </w:r>
      <w:hyperlink r:id="rId35">
        <w:r>
          <w:rPr>
            <w:color w:val="2A78D6"/>
            <w:sz w:val="17"/>
          </w:rPr>
          <w:t xml:space="preserve">Jauns.lv – "Latvenergo" valdes loceklis Māris Kuņickis atstāj darbu uzņēmumā, 2026-10-05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30.</w:t>
        <w:tab/>
      </w:r>
      <w:hyperlink r:id="rId36">
        <w:r>
          <w:rPr>
            <w:color w:val="2A78D6"/>
            <w:sz w:val="17"/>
          </w:rPr>
          <w:t xml:space="preserve">TVNET – "Latvenergo" gatava turpināt sadarbību "Tet" un LMT daļu izpirkšanas procesā,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31.</w:t>
        <w:tab/>
      </w:r>
      <w:hyperlink r:id="rId37">
        <w:r>
          <w:rPr>
            <w:color w:val="2A78D6"/>
            <w:sz w:val="17"/>
          </w:rPr>
          <w:t xml:space="preserve">NRA – "Latvenergo": tik dārga dabasgāze nav bijusi gadiem ilgi, 2026-10-14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32.</w:t>
        <w:tab/>
      </w:r>
      <w:hyperlink r:id="rId46">
        <w:r>
          <w:rPr>
            <w:color w:val="2A78D6"/>
            <w:sz w:val="17"/>
          </w:rPr>
          <w:t xml:space="preserve">SEB Fossil Fuels sector policy (2026-04-23), p. 7-9,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33.</w:t>
        <w:tab/>
      </w:r>
      <w:hyperlink r:id="rId47">
        <w:r>
          <w:rPr>
            <w:color w:val="2A78D6"/>
            <w:sz w:val="17"/>
          </w:rPr>
          <w:t xml:space="preserve">Latvenergo Group - Annual report 2025, p. 29,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34.</w:t>
        <w:tab/>
      </w:r>
      <w:hyperlink r:id="rId48">
        <w:r>
          <w:rPr>
            <w:color w:val="2A78D6"/>
            <w:sz w:val="17"/>
          </w:rPr>
          <w:t xml:space="preserve">jauns.lv / LTV de facto - Latvenergo procurement audit (2020), 2020-10-04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35.</w:t>
        <w:tab/>
      </w:r>
      <w:hyperlink r:id="rId49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36.</w:t>
        <w:tab/>
      </w:r>
      <w:hyperlink r:id="rId50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37.</w:t>
        <w:tab/>
      </w:r>
      <w:hyperlink r:id="rId51">
        <w:r>
          <w:rPr>
            <w:color w:val="2A78D6"/>
            <w:sz w:val="17"/>
          </w:rPr>
          <w:t xml:space="preserve">Latvenergo Group - Annual report 2025, p. 31,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38.</w:t>
        <w:tab/>
      </w:r>
      <w:hyperlink r:id="rId52">
        <w:r>
          <w:rPr>
            <w:color w:val="2A78D6"/>
            <w:sz w:val="17"/>
          </w:rPr>
          <w:t xml:space="preserve">Latvenergo Group - Annual report 2025, p. 26-27,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39.</w:t>
        <w:tab/>
      </w:r>
      <w:hyperlink r:id="rId47">
        <w:r>
          <w:rPr>
            <w:color w:val="2A78D6"/>
            <w:sz w:val="17"/>
          </w:rPr>
          <w:t xml:space="preserve">Latvenergo Group - Annual report 2025, p. 29-30,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40.</w:t>
        <w:tab/>
      </w:r>
      <w:hyperlink r:id="rId53">
        <w:r>
          <w:rPr>
            <w:color w:val="2A78D6"/>
            <w:sz w:val="17"/>
          </w:rPr>
          <w:t xml:space="preserve">Latvenergo Group - Annual report 2025, p. 28,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41.</w:t>
        <w:tab/>
      </w:r>
      <w:hyperlink r:id="rId54">
        <w:r>
          <w:rPr>
            <w:color w:val="2A78D6"/>
            <w:sz w:val="17"/>
          </w:rPr>
          <w:t xml:space="preserve">SEB Policy on Sustainability Considerations in Investments (2026-04-15), 2026-04-15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42.</w:t>
        <w:tab/>
      </w:r>
      <w:hyperlink r:id="rId54">
        <w:r>
          <w:rPr>
            <w:color w:val="2A78D6"/>
            <w:sz w:val="17"/>
          </w:rPr>
          <w:t xml:space="preserve">SEB Electricity and Renewable Energy sector policy,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43.</w:t>
        <w:tab/>
      </w:r>
      <w:hyperlink r:id="rId46">
        <w:r>
          <w:rPr>
            <w:color w:val="2A78D6"/>
            <w:sz w:val="17"/>
          </w:rPr>
          <w:t xml:space="preserve">SEB Fossil Fuels sector policy (2026-04-23), p. 4, 6,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44.</w:t>
        <w:tab/>
      </w:r>
      <w:hyperlink r:id="rId55">
        <w:r>
          <w:rPr>
            <w:color w:val="2A78D6"/>
            <w:sz w:val="17"/>
          </w:rPr>
          <w:t xml:space="preserve">Latvenergo Group - Annual report 2025, p. 10,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45.</w:t>
        <w:tab/>
      </w:r>
      <w:hyperlink r:id="rId56">
        <w:r>
          <w:rPr>
            <w:color w:val="2A78D6"/>
            <w:sz w:val="17"/>
          </w:rPr>
          <w:t xml:space="preserve">Latvenergo Group - Annual report 2025, p. 32,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46.</w:t>
        <w:tab/>
      </w:r>
      <w:hyperlink r:id="rId47">
        <w:r>
          <w:rPr>
            <w:color w:val="2A78D6"/>
            <w:sz w:val="17"/>
          </w:rPr>
          <w:t xml:space="preserve">Latvenergo Group - Annual report 2025, p. 29, 38, 2026-04-29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Latvenergo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Latvenergo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Latvenergo</w:t>
    </w:r>
    <w:r>
      <w:rPr>
        <w:b w:val="0"/>
        <w:color w:val="667085"/>
        <w:sz w:val="16"/>
      </w:rPr>
      <w:tab/>
      <w:t>Emitento apžvalga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nasdaqbaltic.com/market/upload/reports/elek/2025_ar_en_con.pdf#page=24" TargetMode="External"/><Relationship Id="rId13" Type="http://schemas.openxmlformats.org/officeDocument/2006/relationships/hyperlink" Target="https://nasdaqbaltic.com/market/upload/reports/elek/2026_q2_en_con.pdf#page=12" TargetMode="External"/><Relationship Id="rId14" Type="http://schemas.openxmlformats.org/officeDocument/2006/relationships/hyperlink" Target="https://nasdaqbaltic.com/market/upload/reports/elek/2026_q2_en_con.pdf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nasdaqbaltic.com/market/upload/reports/elek/2026_q2_en_con.pdf#page=7" TargetMode="External"/><Relationship Id="rId17" Type="http://schemas.openxmlformats.org/officeDocument/2006/relationships/hyperlink" Target="https://nasdaqbaltic.com/market/upload/reports/elek/2025_ar_en_con.pdf#page=9" TargetMode="External"/><Relationship Id="rId18" Type="http://schemas.openxmlformats.org/officeDocument/2006/relationships/hyperlink" Target="https://nasdaqbaltic.com/market/upload/reports/elek/2025_ar_en_con.pdf#page=8" TargetMode="External"/><Relationship Id="rId19" Type="http://schemas.openxmlformats.org/officeDocument/2006/relationships/hyperlink" Target="https://nasdaqbaltic.com/market/upload/reports/elek/2026_q2_en_con.pdf#page=5" TargetMode="External"/><Relationship Id="rId20" Type="http://schemas.openxmlformats.org/officeDocument/2006/relationships/hyperlink" Target="https://nasdaqbaltic.com/market/upload/reports/elek/2026_q2_en_con.pdf#page=15" TargetMode="External"/><Relationship Id="rId21" Type="http://schemas.openxmlformats.org/officeDocument/2006/relationships/hyperlink" Target="https://nasdaqbaltic.com/market/upload/reports/elek/2025_ar_en_con.pdf#page=12" TargetMode="External"/><Relationship Id="rId22" Type="http://schemas.openxmlformats.org/officeDocument/2006/relationships/image" Target="media/image2.png"/><Relationship Id="rId23" Type="http://schemas.openxmlformats.org/officeDocument/2006/relationships/hyperlink" Target="https://nasdaqbaltic.com/market/upload/reports/elek/2026_q2_en_con.pdf#page=3" TargetMode="External"/><Relationship Id="rId24" Type="http://schemas.openxmlformats.org/officeDocument/2006/relationships/hyperlink" Target="https://nasdaqbaltic.com/market/upload/reports/elek/2026_q2_en_con.pdf#page=14" TargetMode="External"/><Relationship Id="rId25" Type="http://schemas.openxmlformats.org/officeDocument/2006/relationships/hyperlink" Target="https://nasdaqbaltic.com/market/upload/reports/elek/2026_q2_en_con.pdf#page=8" TargetMode="External"/><Relationship Id="rId26" Type="http://schemas.openxmlformats.org/officeDocument/2006/relationships/hyperlink" Target="https://nasdaqbaltic.com/market/upload/reports/elek/2025_ar_en_con.pdf#page=27" TargetMode="External"/><Relationship Id="rId27" Type="http://schemas.openxmlformats.org/officeDocument/2006/relationships/hyperlink" Target="https://nasdaqbaltic.com/statistics/en/instrument/LV0000802684/security?date=2026-10-22" TargetMode="External"/><Relationship Id="rId28" Type="http://schemas.openxmlformats.org/officeDocument/2006/relationships/hyperlink" Target="https://nasdaqbaltic.com/statistics/en/instrument/LV0000870129/security?date=2026-10-22" TargetMode="External"/><Relationship Id="rId29" Type="http://schemas.openxmlformats.org/officeDocument/2006/relationships/hyperlink" Target="https://nasdaqbaltic.com/statistics/en/instrument/LV0000802460/security?date=2026-10-22" TargetMode="External"/><Relationship Id="rId30" Type="http://schemas.openxmlformats.org/officeDocument/2006/relationships/hyperlink" Target="https://nasdaqbaltic.com/statistics/en/instrument/XS3227294132/security?date=2026-10-22" TargetMode="External"/><Relationship Id="rId31" Type="http://schemas.openxmlformats.org/officeDocument/2006/relationships/hyperlink" Target="https://nasdaqbaltic.com/market/upload/reports/elek/2025_ar_en_con.pdf" TargetMode="External"/><Relationship Id="rId32" Type="http://schemas.openxmlformats.org/officeDocument/2006/relationships/hyperlink" Target="https://nasdaqbaltic.com/market/upload/reports/elek/2026_q2_en_con.pdf#page=13" TargetMode="External"/><Relationship Id="rId33" Type="http://schemas.openxmlformats.org/officeDocument/2006/relationships/hyperlink" Target="https://nasdaqbaltic.com/market/upload/reports/elek/2026_q2_en_con.pdf#page=18" TargetMode="External"/><Relationship Id="rId34" Type="http://schemas.openxmlformats.org/officeDocument/2006/relationships/hyperlink" Target="https://nasdaqbaltic.com/market/upload/reports/elek/2026_q2_en_con.pdf#page=17" TargetMode="External"/><Relationship Id="rId35" Type="http://schemas.openxmlformats.org/officeDocument/2006/relationships/hyperlink" Target="https://news.google.com/rss/articles/CBMipAFBVV95cUxPaGlHRXFybVhhc3VtZjVPVnQxaHYyQU1Ob0VjZzJ4OFZMT0FZYkhDUDJkbno5ZGVQOE1WRktCdEwwd0VUeDlscEExdE9oV2RQN0NRQzZzNkwyVlR1TnQwMmx2YS1nQWFzWjJoMmhoN3RfbnV4UTRTRlBBdG9mNDBKT3RGTGdHQnEzVlZNNXNJbVMybF9uckNtZmRWQzNublNHaTJiMw?oc=5" TargetMode="External"/><Relationship Id="rId36" Type="http://schemas.openxmlformats.org/officeDocument/2006/relationships/hyperlink" Target="https://news.google.com/rss/articles/CBMiowFBVV95cUxPd0pQN3NXOENkUDZoaTVOdThycUdQaTdacHQzU2kzTFV0OV8xNnBTNTBZOXB4eE9zNkxQVWwxWEVZWG9lbWdPZGZXbEIwRWFxSUhzSmp0Q0NjRVRRUXppalVseGJnWDhHZjBIbE9nSklnQ2JsaVc2LTZacXRCbFVSQi1Sc3pQaVI1eXEtcVlQZGhOUmJaaVloSlNJWFFMenNaX0Fr?oc=5" TargetMode="External"/><Relationship Id="rId37" Type="http://schemas.openxmlformats.org/officeDocument/2006/relationships/hyperlink" Target="https://news.google.com/rss/articles/CBMipgFBVV95cUxOcm0tb0tzVm55a1FMMzd1cW5mTVJxS0tlTnItUnl2UjB4S0VsTjFrSlRJelFqQnVDSDJkRmd5LWZ0UGpqRHMxaTdCcEJmaU9meVgyZjBNQ3A4ZEFjNlhsd1NOY1BZWTRvNEs0aTB3dmRYdDJ6UUhXQkxMY3d2WEd3UVB2SFVCY0pQekdpZGY3YmtpMVlfWTRkTEVDa2F1cjU4S1Y3SGVB?oc=5" TargetMode="External"/><Relationship Id="rId38" Type="http://schemas.openxmlformats.org/officeDocument/2006/relationships/hyperlink" Target="https://news.google.com/rss/articles/CBMizwFBVV95cUxQV2tRbXFrTmFNaXNJY0VMWXdZT2dURWtHNHRUR2NuZEExRC1MS0pkelk2SEJxaDBFM281VFVXRGdDbm9UQVBaTWFFaFFad2MxOTZKZmhVeUllZHR2NFl6b2wzcmV5RllNMHVIVE5TQlVjT0FkNG1mdTlOMzBpSXc2bnZnRkZPQkhWZGdkWjMxbmNnYThzeFhzejJOWDdyOHhBLVlwRTdrV0xMRTRwU2lnbHBUWXI5RTYtM0dWVFlqZWJNNWxTWHpwQ1BxZ3ZCZjg?oc=5" TargetMode="External"/><Relationship Id="rId39" Type="http://schemas.openxmlformats.org/officeDocument/2006/relationships/hyperlink" Target="https://news.google.com/rss/articles/CBMirwFBVV95cUxNY0ItaXExVXdKY01GcU9CVHdES0dXM0swa2xXMFVVZ3pLVGFGdzltc2J2VmFVTUhiSzRmRVZGWDk4MWNqVGZsX2RuWWdHSEJ6MTRrTURBQW9nbXJXTWZpN01mVVU5c2poUmpUblRiWXdEUDRMVGx6amNMZEFMOXc0NFhSeUZmcWRUM1BHUG1aWHhIckk1dWZQLTFWeVhHNjl6UDhjcWpSbklkZjVuMjNF?oc=5" TargetMode="External"/><Relationship Id="rId40" Type="http://schemas.openxmlformats.org/officeDocument/2006/relationships/hyperlink" Target="https://news.google.com/rss/articles/CBMinAFBVV95cUxONXV4OEN1OWNqQ29vMzI5VWFjNTFEVDY2eGF0ak41bjV5VnVBYndabVhPUFIyWU83TnJnUzAzSGozeTMzMWI1b0dfWkE3YzZWWlJ2VnBBOHMwZGxZejNFTzY0SnJDOEM3a1VxT2tYa0pjTTlsZzk3RDd6cDJBUWloNlVVaTBhck1lTFBiSnlDeW1wRW9TcVpRT2o2czc?oc=5" TargetMode="External"/><Relationship Id="rId41" Type="http://schemas.openxmlformats.org/officeDocument/2006/relationships/hyperlink" Target="https://news.google.com/rss/articles/CBMiwAFBVV95cUxPRF8xMGZMamhTTlBPa1ZaWjM2cEdkaHVGYmhnNzE0amR2QlV3ZkJubWZBNHl0Y3ZweVBlaDU3WjF1TU1wLVBTWG14QmVqODQ1SDhpZFA1N2MzNWhMMlgtVThmcGl4UVdFUzNKdzVwTUVZNUF5cF94Q283X0FUcE1PeEtfc2VCYThobW5ES0lSeDdzcm5RUTBYS0VnVG1NS0JvRXBvWXAzTldHT211LU5Kc3dDVzdaWWZueVlrUldKZkw?oc=5" TargetMode="External"/><Relationship Id="rId42" Type="http://schemas.openxmlformats.org/officeDocument/2006/relationships/hyperlink" Target="https://news.google.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?oc=5" TargetMode="External"/><Relationship Id="rId43" Type="http://schemas.openxmlformats.org/officeDocument/2006/relationships/hyperlink" Target="https://news.google.com/rss/articles/CBMiqAFBVV95cUxPVzFBMm9WazJSekQtTi1zcnZXSEF6b0R4aUpsWG1RRVBTNmI0VzVPWDEwalhvNTZxcmJ4Qnl2cEFFU0l6ZkRWcGxmNnRCaDdMX2kyTnJyeTZwTkZIQ00yeHJ2RFdsM2RtVkc4UDFyTWdFMG5rRzVpYU42TGctWWF6UFphYnNvSG9ZNEJFNnhXb2hTcnFlOHNlXy1PaFBRR0RtZThhQU5kUFc?oc=5" TargetMode="External"/><Relationship Id="rId44" Type="http://schemas.openxmlformats.org/officeDocument/2006/relationships/hyperlink" Target="https://news.google.com/rss/articles/CBMivAFBVV95cUxPTjcxSmVvNTBFbEtscWZGQWVWa1RXWmdEX2dOdF9rRjg4bHBhQUVLMnpwbWZBQTctR0RCN0JTOGF0VTdEbUF1NG1WMHF4azhYa0FZaGZuUUNDcHYwQS1YVF9zbU5ZM1Z1Um5zNk16dXpGNDhoU0gyN1E0bFBsUTEycFhJa0hjOEtjeWRLLUtBZHJhUnhib3U2dlNwY3JvS0poek1jaG12R08ybEt5N3Ewcm0zWnprSW5YRzZ2Vg?oc=5" TargetMode="External"/><Relationship Id="rId45" Type="http://schemas.openxmlformats.org/officeDocument/2006/relationships/hyperlink" Target="https://news.google.com/rss/articles/CBMi1gFBVV95cUxOS21nMlo4enhpbzcwRU1VXzdvWXRCR1VRd3g0elpoWlJDN2dRZjhNdGhwT3hyS242aUdsVlhSM2p5NGRHQV80U3d6QjB2UWRrRzhxWi1RY3lfTnFoNDJHcnZ2dWFJSUpQNHQ0ek55bWNrNURBcExHUl9ac1BwVmVXTURiSUFDSHg2dTFzenlTc2VqTGdmN2VOQWNMMmVJbnl3Z1l4a3ViZjdYUURNdkRrVElYYzBHd3puZV9RRVduekdTb3R2N1Y0UHBubkVxajEzTVhIZERB?oc=5" TargetMode="External"/><Relationship Id="rId46" Type="http://schemas.openxmlformats.org/officeDocument/2006/relationships/hyperlink" Target="https://webapp.sebgroup.com/mb/mblib.nsf/dld/80AF6A2E5F88CDC2C12586B1002E33C2?opendocument" TargetMode="External"/><Relationship Id="rId47" Type="http://schemas.openxmlformats.org/officeDocument/2006/relationships/hyperlink" Target="https://nasdaqbaltic.com/market/upload/reports/elek/2025_ar_en_con.pdf#page=29" TargetMode="External"/><Relationship Id="rId48" Type="http://schemas.openxmlformats.org/officeDocument/2006/relationships/hyperlink" Target="https://jauns.lv/raksts/zinas/407457-starp-latvenergo-koncerna-iepirkumu-uzvaretajiem-atrodami-vairaki-martinsona-motokluba-ziedotaji" TargetMode="External"/><Relationship Id="rId49" Type="http://schemas.openxmlformats.org/officeDocument/2006/relationships/hyperlink" Target="https://sanctionssearch.ofac.treas.gov/" TargetMode="External"/><Relationship Id="rId50" Type="http://schemas.openxmlformats.org/officeDocument/2006/relationships/hyperlink" Target="https://www.sanctionsmap.eu/#/main" TargetMode="External"/><Relationship Id="rId51" Type="http://schemas.openxmlformats.org/officeDocument/2006/relationships/hyperlink" Target="https://nasdaqbaltic.com/market/upload/reports/elek/2025_ar_en_con.pdf#page=31" TargetMode="External"/><Relationship Id="rId52" Type="http://schemas.openxmlformats.org/officeDocument/2006/relationships/hyperlink" Target="https://nasdaqbaltic.com/market/upload/reports/elek/2025_ar_en_con.pdf#page=26" TargetMode="External"/><Relationship Id="rId53" Type="http://schemas.openxmlformats.org/officeDocument/2006/relationships/hyperlink" Target="https://nasdaqbaltic.com/market/upload/reports/elek/2025_ar_en_con.pdf#page=28" TargetMode="External"/><Relationship Id="rId54" Type="http://schemas.openxmlformats.org/officeDocument/2006/relationships/hyperlink" Target="https://sebgroup.com/sustainability/our-sustainability-strategy/policies" TargetMode="External"/><Relationship Id="rId55" Type="http://schemas.openxmlformats.org/officeDocument/2006/relationships/hyperlink" Target="https://nasdaqbaltic.com/market/upload/reports/elek/2025_ar_en_con.pdf#page=10" TargetMode="External"/><Relationship Id="rId56" Type="http://schemas.openxmlformats.org/officeDocument/2006/relationships/hyperlink" Target="https://nasdaqbaltic.com/market/upload/reports/elek/2025_ar_en_con.pdf#page=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