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2026-07-30 – 2026-10-28: 40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Parduodamas „Luminor“: pirkėju tapo OTP Bank, sandorį jau patvirtino Europos Komisija</w:t>
              </w:r>
            </w:hyperlink>
            <w:r>
              <w:rPr>
                <w:b w:val="0"/>
                <w:color w:val="667085"/>
                <w:sz w:val="15"/>
              </w:rPr>
              <w:t xml:space="preserve">   77.lt  ·  dar 8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„Luminor“ bankas informuoja apie darbo laiko pokyčius Vėlinių laikotarpiu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Financial Holdings Limited Estimates – SGX:5UA</w:t>
              </w:r>
            </w:hyperlink>
            <w:r>
              <w:rPr>
                <w:b w:val="0"/>
                <w:color w:val="667085"/>
                <w:sz w:val="15"/>
              </w:rPr>
              <w:t xml:space="preserve">   TradingView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Latvia's President and PM comment on potential Luminor sale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40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53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4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gwFBVV95cUxPS005WENVTUpnMXNiajg3M2k0LTNlRlNFZnF5dFVVc2lZMDFKU0ZYYWR2eVVmYkk1bzRJOWRQXzJQaWNYRkFIVlNOR2lYQ3ZEYnpkVlUyT2ZOenBVY2hVQ0hZM1FiQ3d4MlJLa2lzSndpd21pTFhzdUo5MERVTWx5dUx4OA?oc=5" TargetMode="External"/><Relationship Id="rId39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0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1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2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3" Type="http://schemas.openxmlformats.org/officeDocument/2006/relationships/hyperlink" Target="https://news.google.com/rss/articles/CBMizwFBVV95cUxNUUZrdlI2X3FwNXZPYXo0azYxb0NZei02RVd3c2FuTXhtYV9NRzhZdmp5d2ZydWpzbU83WHozWlNjM09OTVltbkJrUU45ZE5oUWNyMHV1SUVDczNwbmpIWHRfVUVhUEhnSWJCNXVuLXF6UGlXYWt2ZEpkcFdscEV4UkpsSmNZalFtNjA0aVVUbTE4SWUwWVN5TjBLNUxWdTllckJsVHJTbDFlVkdhbTNPcURfTWxNOW5WWDV4Q1RUMlFQU1NlSTJFVFlRTU82UFU?oc=5" TargetMode="External"/><Relationship Id="rId44" Type="http://schemas.openxmlformats.org/officeDocument/2006/relationships/hyperlink" Target="https://news.google.com/rss/articles/CBMic0FVX3lxTFBtWEZBaTd6bkpjejBaV0UxVkFJNFBDaWUtTUhpcFg4YURXRU0zdjdGYnpXQmFUV1Y3RF9ESEswVy1MaDVMeG1JdE9CN200cDVVRk5wV3FLdWZkYTMxcHNmNnY5UXl2N0hmX2tRSmRpYVE2aFE?oc=5" TargetMode="External"/><Relationship Id="rId45" Type="http://schemas.openxmlformats.org/officeDocument/2006/relationships/hyperlink" Target="https://news.google.com/rss/articles/CBMiuwFBVV95cUxOcW56eklqVGkzRmdHNUU1QU12TDh2X21tSVp3Tk5PVHEwMHZRTExVMTAxZ1o4OUpwU0ZvUUxpT3JfdlBRNlVlYVh1TDBuTmZ4Z2YtTktyV2FkSGZSa2o3S1pKWllaaXFaNUlPS3loMXBuUmUxWnZlb2t6NGZSZFVBSDFBZXJRcndxN20wMXVreXhCc25hdGRFLTJ6TjZmcFJ1cXQ3NkxibTEybGN4ci0wN0h0d2RTMVFZRG9N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sanctionssearch.ofac.treas.gov/" TargetMode="External"/><Relationship Id="rId49" Type="http://schemas.openxmlformats.org/officeDocument/2006/relationships/hyperlink" Target="https://www.sanctionsmap.eu/#/main" TargetMode="External"/><Relationship Id="rId50" Type="http://schemas.openxmlformats.org/officeDocument/2006/relationships/hyperlink" Target="https://luminor.lv/sites/default/files/docs/finansu_parskati/luminor_bank_annual_report_2025-lv.pdf#page=22" TargetMode="External"/><Relationship Id="rId51" Type="http://schemas.openxmlformats.org/officeDocument/2006/relationships/hyperlink" Target="https://sebgroup.com/sustainability/our-sustainability-strategy/policies" TargetMode="External"/><Relationship Id="rId52" Type="http://schemas.openxmlformats.org/officeDocument/2006/relationships/hyperlink" Target="https://luminor.lv/sites/default/files/docs/finansu_parskati/luminor_bank_annual_report_2025-lv.pdf#page=18" TargetMode="External"/><Relationship Id="rId53" Type="http://schemas.openxmlformats.org/officeDocument/2006/relationships/hyperlink" Target="https://luminor.lv/sites/default/files/docs/finansu_parskati/luminor_bank_annual_report_2025-lv.pdf#page=23" TargetMode="External"/><Relationship Id="rId54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