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Hepsor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9A6400"/>
                <w:sz w:val="18"/>
                <w:shd w:val="clear" w:color="auto" w:fill="FDF1D8"/>
              </w:rPr>
              <w:t xml:space="preserve">  ●  STEBĖTI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(no credit rating found)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Q3 2026 interim report - expected late October / November 2026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Hepsor AS ordinary share (HPR1T)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EE3100082306  ·  akcija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Stebėti.</w:t>
            </w:r>
            <w:r>
              <w:rPr>
                <w:b w:val="0"/>
                <w:color w:val="1B2430"/>
                <w:sz w:val="21"/>
              </w:rPr>
              <w:t xml:space="preserve"> I pusm. Hepsor patyrė 2,2 mln. EUR nuostolį, nes mažai butų perduota pirkėjams (23 vs 102)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Nuosavo kapitalo dalis sumažėjo iki 23,1 %, o obligacijų sąlyga reikalauja ne mažiau 20 %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Pardavimų sutartys auga (129 butai, +36 %, mūsų skaičiavimas), pajamos tikėtinos baigus projektus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Pajamos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6,2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71,9 %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-2,21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889,3 %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Nuosavo kapitalo dalis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23,1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3,7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56,2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38,4 %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Nuostolis dėl ciklo:</w:t>
      </w:r>
      <w:r>
        <w:rPr>
          <w:b w:val="0"/>
        </w:rPr>
        <w:t xml:space="preserve"> I pusm. pajamos 6,2 mln. EUR (22,1 mln.), EBITDA −0,9 mln. EUR, grynasis nuostolis 2,2 mln. EUR (pelnas 0,3 mln.); pajamos pripažįstamos tik perdavus butus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Pardavimai auga:</w:t>
      </w:r>
      <w:r>
        <w:rPr>
          <w:b w:val="0"/>
        </w:rPr>
        <w:t xml:space="preserve"> sudaryta 129 butų pirminių sutarčių už 25,7 mln. EUR (95 ir 18,5 mln. prieš metus); statoma 513 būstų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Skola auga:</w:t>
      </w:r>
      <w:r>
        <w:rPr>
          <w:b w:val="0"/>
        </w:rPr>
        <w:t xml:space="preserve"> palūkanų skola 58,7 mln. EUR (2025 m. pab. 47,7 mln.); grynoji skola apie 56,2 mln. EUR (mūsų skaičiavimas); pinigai 2,5 mln. EUR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Naujos obligacijos:</w:t>
      </w:r>
      <w:r>
        <w:rPr>
          <w:b w:val="0"/>
        </w:rPr>
        <w:t xml:space="preserve"> 2026-09 išleista 5 mln. EUR 9,5 % obligacijų (2029), paklausa 2,4 karto didesnė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EE3100082306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Hepsor AS ordinary share (HPR1T)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akcija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Added from the ISIN list 2026-10-22; terms from the Nasdaq Baltic list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38,4*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6,2*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71,9 %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mln. EUR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4,54*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3,46*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1,46*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-0,92*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163,0 %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1,04*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0,28*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-2,21*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2,49 EURm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88,8*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91,8*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76,7*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103,7*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35,2 %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20,6*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23,9*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16,0 %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24,8 %*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29,5 %*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26,8 %*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23,1 %*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3,7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43,9ᶜ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40,6ᶜ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56,2ᶜ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38,4 %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psor_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Gyvenamojo ir komercinio NT plėtotojas Estijoje ir Latvijoje:</w:t>
      </w:r>
      <w:r>
        <w:rPr>
          <w:b w:val="0"/>
        </w:rPr>
        <w:t xml:space="preserve"> 29 projektai, apie 195 000 kv. m parduodamo ploto, pardavimų potencialas 542 mln. EUR</w:t>
      </w:r>
      <w:hyperlink r:id="rId20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Artimiausi užbaigimai:</w:t>
      </w:r>
      <w:r>
        <w:rPr>
          <w:b w:val="0"/>
        </w:rPr>
        <w:t xml:space="preserve"> Manufaktuuri 12 Taline (49 butai, perdavimai nuo III ketv., 27 parduoti), Dzelzavas 74C Rygoje (103 butai, IV ketv., 42 parduoti)</w:t>
      </w:r>
      <w:hyperlink r:id="rId21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pajamos 35,4 mln. EUR (38,4 mln.), pelnas 1,0 mln. EUR (2,1 mln.), nuosavo kapitalo dalis 29,5 % (24,8 %)</w:t>
      </w:r>
      <w:hyperlink r:id="rId17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Koreguota nuosavo kapitalo dalis (su subordinuotomis akcininkų paskolomis) – 37,9 %; I pusm. išmokėta 1,06 mln. EUR dividendų</w:t>
      </w:r>
      <w:hyperlink r:id="rId13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Pradėti perduoti Manufaktuuri 12 butus nuo 2026 m. III ketv.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Laukiama III ketv. ataskaitos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Pagal planą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Iki metų pabaigos pradėti dar 119 būstų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 planas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Hepsor AS akcija (HPR1T, Nasdaq Tallinn); akcijų 3 912 522</w:t>
      </w:r>
      <w:hyperlink r:id="rId22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 Rinkos kaina ir dividendų politika nerastos.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Skolos sąlygos:</w:t>
      </w:r>
      <w:r>
        <w:rPr>
          <w:b w:val="0"/>
        </w:rPr>
        <w:t xml:space="preserve"> obligacijos (8 mln. EUR 2028 ir 5 mln. EUR 2029, abi 9,5 %) reikalauja nuosavo kapitalo dalies ≥20 % – yra 23,1 %</w:t>
      </w:r>
      <w:hyperlink r:id="rId23">
        <w:r>
          <w:rPr>
            <w:color w:val="2A78D6"/>
            <w:vertAlign w:val="superscript"/>
            <w:sz w:val="17"/>
          </w:rPr>
          <w:t xml:space="preserve">14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color w:val="2A78D6"/>
          <w:vertAlign w:val="superscript"/>
        </w:rPr>
        <w:t>,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padidinta rizika akcininkui – nuostolingas pusmetis ir maža kapitalo atsarga; rezultatai turėtų gerėti perdavus butus.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Mažai parduotų butų:</w:t>
      </w:r>
      <w:r>
        <w:rPr>
          <w:b w:val="0"/>
        </w:rPr>
        <w:t xml:space="preserve"> I pusm. pajamos 6,2 mln. EUR (prieš metus 22,1 mln.) dėl mažo baigtų neparduotų butų likučio – perduoti 23 butai (102)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; bendroji marža 6,7 % (13,0 %), grynasis nuostolis 2,2 mln. EUR</w:t>
      </w:r>
      <w:hyperlink r:id="rId24">
        <w:r>
          <w:rPr>
            <w:color w:val="2A78D6"/>
            <w:vertAlign w:val="superscript"/>
            <w:sz w:val="17"/>
          </w:rPr>
          <w:t xml:space="preserve">15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Rinka:</w:t>
      </w:r>
      <w:r>
        <w:rPr>
          <w:b w:val="0"/>
        </w:rPr>
        <w:t xml:space="preserve"> komercinių projektų atsiperkamumą blogina augantys statybos kaštai ir brangesnis skolinimasis, o nuomos kainos nekyla; būsto paklausa stipriai auga, todėl Rygos Veidemos kvartalas perorientuojamas į būstą</w:t>
      </w:r>
      <w:hyperlink r:id="rId21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Perspektyva:</w:t>
      </w:r>
      <w:r>
        <w:rPr>
          <w:b w:val="0"/>
        </w:rPr>
        <w:t xml:space="preserve"> statoma 513 butų (prieš metus 255) – pagrindas pajamų augimui ateityje; pirminiai pardavimai 129 butai už 25,7 mln. EUR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EE), 2026-08-01 – 2026-10-30: 3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B42318"/>
                <w:sz w:val="14"/>
                <w:shd w:val="clear" w:color="auto" w:fill="FDE7E5"/>
              </w:rPr>
              <w:t xml:space="preserve"> DĖMESIO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5">
              <w:r>
                <w:rPr>
                  <w:color w:val="1B2430"/>
                  <w:sz w:val="18"/>
                </w:rPr>
                <w:t xml:space="preserve">Hepsori juht: lõpetame aasta kahjumis</w:t>
              </w:r>
            </w:hyperlink>
            <w:r>
              <w:rPr>
                <w:b w:val="0"/>
                <w:color w:val="667085"/>
                <w:sz w:val="15"/>
              </w:rPr>
              <w:t xml:space="preserve">   Ehitusuudised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4E79"/>
                <w:sz w:val="14"/>
                <w:shd w:val="clear" w:color="auto" w:fill="EAF1F8"/>
              </w:rPr>
              <w:t xml:space="preserve"> REZULTATAI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6">
              <w:r>
                <w:rPr>
                  <w:color w:val="1B2430"/>
                  <w:sz w:val="18"/>
                </w:rPr>
                <w:t xml:space="preserve">Hepsor AS 2026 III kvartali ja 9 kuu konsolideeritud auditeerimata vahearuanne</w:t>
              </w:r>
            </w:hyperlink>
            <w:r>
              <w:rPr>
                <w:b w:val="0"/>
                <w:color w:val="667085"/>
                <w:sz w:val="15"/>
              </w:rPr>
              <w:t xml:space="preserve">   GlobeNewswire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2026-10-28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7">
              <w:r>
                <w:rPr>
                  <w:color w:val="1B2430"/>
                  <w:sz w:val="18"/>
                </w:rPr>
                <w:t xml:space="preserve">Hepsori müük kolmandas kvartalis kukkus ja võlakoorem kasvas</w:t>
              </w:r>
            </w:hyperlink>
            <w:r>
              <w:rPr>
                <w:b w:val="0"/>
                <w:color w:val="667085"/>
                <w:sz w:val="15"/>
              </w:rPr>
              <w:t xml:space="preserve">   Äripäev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NT plėtra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Išskirtuose sektoriuose veiklos nėra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2026-10-30).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17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29">
              <w:r>
                <w:rPr>
                  <w:color w:val="2A78D6"/>
                  <w:vertAlign w:val="superscript"/>
                  <w:sz w:val="15"/>
                </w:rPr>
                <w:t xml:space="preserve">18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2026-08-01 – 2026-10-30: 3 pranešimų, iš jų su neigiamu žodžiu antraštėje – 1 (plačiau – skiltyje „Ką rašo spauda“).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Antraštės su neigiamu žodžiu: „Hepsori juht: lõpetame aasta kahjumis“ (Ehitusuudised, 2026-10-28).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Bendrovė nurodo diegianti inovatyvius inžinerinius sprendimus, didinančius pastatų energinį efektyvumą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Klimato tikslų ir tvarumo ataskaitos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NT ir statybos politika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19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Energiškai efektyvūs nauji pastatai ES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Tvarumo ataskaita ir pereinamojo laikotarpio planas nerasti.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mažas plėtotojas be rizikų ESG srityje.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 pastatai statomi energiškai efektyvūs</w:t>
            </w:r>
            <w:hyperlink r:id="rId15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Tvarumo ataskaitos nėra.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Real Estate and Construction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Hepsor - Consolidated unaudited interim report Q2 2026, p. 6, 20,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Hepsor - Consolidated unaudited interim report Q2 2026, p. 20,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Hepsor - Bonds 2026 (Series II), 2026-09-07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2">
        <w:r>
          <w:rPr>
            <w:color w:val="2A78D6"/>
            <w:sz w:val="17"/>
          </w:rPr>
          <w:t xml:space="preserve">Hepsor - Consolidated unaudited interim report Q2 2026, p. 6,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5">
        <w:r>
          <w:rPr>
            <w:color w:val="2A78D6"/>
            <w:sz w:val="17"/>
          </w:rPr>
          <w:t xml:space="preserve">Hepsor - Consolidated unaudited interim report Q2 2026, p. 4, 20,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Hepsor - News: record construction volumes and 9.5% bonds, 2026-08-24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3">
        <w:r>
          <w:rPr>
            <w:color w:val="2A78D6"/>
            <w:sz w:val="17"/>
          </w:rPr>
          <w:t xml:space="preserve">Hepsor - Consolidated unaudited interim report Q2 2026, p. 20, 23,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7">
        <w:r>
          <w:rPr>
            <w:color w:val="2A78D6"/>
            <w:sz w:val="17"/>
          </w:rPr>
          <w:t xml:space="preserve">Hepsor - Key financials (investor web page),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Hepsor - Consolidated unaudited interim report Q2 2026, p. 29,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0">
        <w:r>
          <w:rPr>
            <w:color w:val="2A78D6"/>
            <w:sz w:val="17"/>
          </w:rPr>
          <w:t xml:space="preserve">Hepsor - Consolidated unaudited interim report Q2 2026, p. 8, 13,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1">
        <w:r>
          <w:rPr>
            <w:color w:val="2A78D6"/>
            <w:sz w:val="17"/>
          </w:rPr>
          <w:t xml:space="preserve">Hepsor - Consolidated unaudited interim report Q2 2026, p. 7,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13">
        <w:r>
          <w:rPr>
            <w:color w:val="2A78D6"/>
            <w:sz w:val="17"/>
          </w:rPr>
          <w:t xml:space="preserve">Hepsor - Consolidated unaudited interim report Q2 2026, p. 20, 22,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2">
        <w:r>
          <w:rPr>
            <w:color w:val="2A78D6"/>
            <w:sz w:val="17"/>
          </w:rPr>
          <w:t xml:space="preserve">Hepsor - Consolidated unaudited interim report Q2 2026, p. 26,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3">
        <w:r>
          <w:rPr>
            <w:color w:val="2A78D6"/>
            <w:sz w:val="17"/>
          </w:rPr>
          <w:t xml:space="preserve">Hepsor - 9.5% bond 2025-2028,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4">
        <w:r>
          <w:rPr>
            <w:color w:val="2A78D6"/>
            <w:sz w:val="17"/>
          </w:rPr>
          <w:t xml:space="preserve">Hepsor - Consolidated unaudited interim report Q2 2026, p. 21, 22,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15">
        <w:r>
          <w:rPr>
            <w:color w:val="2A78D6"/>
            <w:sz w:val="17"/>
          </w:rPr>
          <w:t xml:space="preserve">Hepsor - Consolidated unaudited interim report Q2 2026, p. 4, 2026-07-28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8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9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30">
        <w:r>
          <w:rPr>
            <w:color w:val="2A78D6"/>
            <w:sz w:val="17"/>
          </w:rPr>
          <w:t xml:space="preserve">SEB Real Estate and Construction sector policy (2026-04-23), p. 6-10, 2026-04-23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Hepsor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Hepsor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Hepsor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hepsor.ee/wp-content/uploads/2026/01/Hepsor-Q2_2026_ENG.pdf#page=6" TargetMode="External"/><Relationship Id="rId13" Type="http://schemas.openxmlformats.org/officeDocument/2006/relationships/hyperlink" Target="https://hepsor.ee/wp-content/uploads/2026/01/Hepsor-Q2_2026_ENG.pdf#page=20" TargetMode="External"/><Relationship Id="rId14" Type="http://schemas.openxmlformats.org/officeDocument/2006/relationships/hyperlink" Target="https://hepsor.ee/en/for-investors/bonds/bonds-2026/" TargetMode="External"/><Relationship Id="rId15" Type="http://schemas.openxmlformats.org/officeDocument/2006/relationships/hyperlink" Target="https://hepsor.ee/wp-content/uploads/2026/01/Hepsor-Q2_2026_ENG.pdf#page=4" TargetMode="External"/><Relationship Id="rId16" Type="http://schemas.openxmlformats.org/officeDocument/2006/relationships/hyperlink" Target="https://hepsor.ee/en/hepsor-reaches-record-construction-volumes-and-issues-bonds-yielding-95/" TargetMode="External"/><Relationship Id="rId17" Type="http://schemas.openxmlformats.org/officeDocument/2006/relationships/hyperlink" Target="https://hepsor.ee/en/for-investors/stock/key-financials/" TargetMode="External"/><Relationship Id="rId18" Type="http://schemas.openxmlformats.org/officeDocument/2006/relationships/hyperlink" Target="https://hepsor.ee/wp-content/uploads/2026/01/Hepsor-Q2_2026_ENG.pdf#page=29" TargetMode="External"/><Relationship Id="rId19" Type="http://schemas.openxmlformats.org/officeDocument/2006/relationships/image" Target="media/image1.png"/><Relationship Id="rId20" Type="http://schemas.openxmlformats.org/officeDocument/2006/relationships/hyperlink" Target="https://hepsor.ee/wp-content/uploads/2026/01/Hepsor-Q2_2026_ENG.pdf#page=8" TargetMode="External"/><Relationship Id="rId21" Type="http://schemas.openxmlformats.org/officeDocument/2006/relationships/hyperlink" Target="https://hepsor.ee/wp-content/uploads/2026/01/Hepsor-Q2_2026_ENG.pdf#page=7" TargetMode="External"/><Relationship Id="rId22" Type="http://schemas.openxmlformats.org/officeDocument/2006/relationships/hyperlink" Target="https://hepsor.ee/wp-content/uploads/2026/01/Hepsor-Q2_2026_ENG.pdf#page=26" TargetMode="External"/><Relationship Id="rId23" Type="http://schemas.openxmlformats.org/officeDocument/2006/relationships/hyperlink" Target="https://hepsor.ee/en/for-investors/bonds/9-5-bond-2025-2028/" TargetMode="External"/><Relationship Id="rId24" Type="http://schemas.openxmlformats.org/officeDocument/2006/relationships/hyperlink" Target="https://hepsor.ee/wp-content/uploads/2026/01/Hepsor-Q2_2026_ENG.pdf#page=21" TargetMode="External"/><Relationship Id="rId25" Type="http://schemas.openxmlformats.org/officeDocument/2006/relationships/hyperlink" Target="https://news.google.com/rss/articles/CBMihwFBVV95cUxOU1U3bkVzYkRIY2hnQnBpZjVVM3pXN3duVEJoNzAyU281Mm5vSERxM0dQX0Vmb1FPLWpKdHVQbG1fUjdyTUc1WGFYRkF0N3ZVRzQydTgxeEREdmlycHFPYUg5RG5VQnAzQkhJWmMzWUVYRWJaclBqUno0Q05CMHRSYVgzUDBoVms?oc=5" TargetMode="External"/><Relationship Id="rId26" Type="http://schemas.openxmlformats.org/officeDocument/2006/relationships/hyperlink" Target="https://news.google.com/rss/articles/CBMi5AFBVV95cUxQeXpLV00yMnowaXVFRFNxa2J6U0V2NDVFNHpqVnVKNmV1dW80TWdmZDh3SlZiTUpMOXQ1UC1MNm05VmZDOE1PT2N1azlpS0kzLTViWUlBZjhrem1CNEFydjZCMWNqSnNlMThPbTRnVkFiT2otN2tkbUpPVndVTi1mak04bGIzMTFNc1pRZk1DN0x3VE5XM1lURXFzOWdocEQxQ2NIb2dKbmh5SVhNVGozeXBkc0RaVHVHX0tYU3pZU3BtMU1RMV9PNVY0TTNFVWFCbmpvTmxTYnp1SXlHYVNjVU45WUY?oc=5" TargetMode="External"/><Relationship Id="rId27" Type="http://schemas.openxmlformats.org/officeDocument/2006/relationships/hyperlink" Target="https://news.google.com/rss/articles/CBMiqwFBVV95cUxOZWtwcTlWMDZfMXc3OTlJY1ptMHZyQWs4aUZsTVNsQ0dNVHJBNFlKdVktUE9fMnV4STBxTHlIc3l1RkVhSGJWWmp4WGpOdnNBM3VJTnYwYndwMEVrY3VXeHJBSjZJdnVzYjdZS1EzcVZCRjRXX0FuczMwRGpMcDV1dW13WmdFYVZlSS1Vc1NaWjRFdDFsNjMzQi1peUZ1OXB5dy1xQ0gzbE1odzg?oc=5" TargetMode="External"/><Relationship Id="rId28" Type="http://schemas.openxmlformats.org/officeDocument/2006/relationships/hyperlink" Target="https://sanctionssearch.ofac.treas.gov/" TargetMode="External"/><Relationship Id="rId29" Type="http://schemas.openxmlformats.org/officeDocument/2006/relationships/hyperlink" Target="https://www.sanctionsmap.eu/#/main" TargetMode="External"/><Relationship Id="rId30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