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FY2026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LATRAPS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Audited annual report FY2025/26 - expected November 2026 (FY2024/25 report was signed 2025-11-24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sz w:val="18"/>
              </w:rPr>
              <w:t>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LATRAPS 7.5% bond 2028 (First North)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LV0000805349  ·  7,5 % · 2028-12-12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LATRAPS – 1 214 Latvijos ūkininkų kooperatyvas; 2025/26 m. pelnas 2,8 mln. EUR, abiejų obligacijų sąlygų laikomasi: koreguota kapitalo dalis 29,4 % (riba 20 %), EBITDA / palūkanos 2,7 karto (riba 2,0)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Stebėtina: skola auga dėl 132 mln. EUR žirnių baltymų gamyklos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240,2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5,5 %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2,77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1,1 %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29,4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palūkanos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2,7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• 0x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Laikotarpiai:</w:t>
      </w:r>
      <w:r>
        <w:rPr>
          <w:b w:val="0"/>
        </w:rPr>
        <w:t xml:space="preserve"> finansiniai metai – liepos 1 d.–birželio 30 d.; FY2026 = 2025-07–2026-06, 6M2026 = 2025-07–2025-12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Pardavimai mažesni, pelnas stabilus:</w:t>
      </w:r>
      <w:r>
        <w:rPr>
          <w:b w:val="0"/>
        </w:rPr>
        <w:t xml:space="preserve"> pajamos 240,2 mln. EUR (254,3 mln.), pelnas 2,77 mln. EUR (2,74 mln.), tai 1,1 % apyvartos; grūdų kainos išliko žemos, dalis derliaus neatitiko maistinių reikalavimų dėl drėgno oro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Sąlygų laikomasi:</w:t>
      </w:r>
      <w:r>
        <w:rPr>
          <w:b w:val="0"/>
        </w:rPr>
        <w:t xml:space="preserve"> koreguota kapitalo dalis 29,4 % (32,8 %), riba ≥20 %; koreguota EBITDA / palūkanos 2,7 karto (2,7), riba ≥2,0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auga:</w:t>
      </w:r>
      <w:r>
        <w:rPr>
          <w:b w:val="0"/>
        </w:rPr>
        <w:t xml:space="preserve"> grynoji skola apie 62,4 mln. EUR (prieš metus 45,1 mln.; mūsų skaičiavimas), turtas 142,0 mln. EUR (121,4 mln.)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LV0000805349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LATRAPS 7.5% bond 2028 (First North)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Quarterly coupon; listed 2025-03-05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151,8*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240,2*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5,5 %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142,0*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17,0 %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29,4 %*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palūkanos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2,7x*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45,1ᶜ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62,4ᶜ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38,4 %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raps_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Kooperatyvas superka, sandėliuoja ir eksportuoja narių grūdus ir rapsus (beveik 30 šalių); sandėlių talpa beveik 220 000 t; valdo LATMALT (salyklas, 100 %)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Jelgavoje statoma žirnių baltymų gamykla (ASNS Ingredient, 51,42 %): iki 70 000 t žirnių per metus, investicija 132 mln. EUR, pabaiga planuojama 2027 m. I pusm.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2026-09 baigtos 4,2 mln. EUR investicijos į Jaunpagasto, Aizkrauklės ir Jēkabpilio sandėlius (ES lėšos); parduota Alpha Osta dalis</w:t>
      </w:r>
      <w:hyperlink r:id="rId30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Bendrasis pelnas 16,9 mln. EUR (17,6 mln.), palūkanų sąnaudos 2,86 mln. EUR (2,71 mln.)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Nuosavas kapitalas 36,7 mln. EUR (34,4 mln.)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EBITDA atskirai neskelbiama; skelbiamas tik kovenanto rodiklis EBITDA / palūkanos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Žirnių baltymų gamykla Jelgavoje (132 mln. EUR) – pabaiga 2027 m. I pusm.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Statoma; terminas nepakeistas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 pagal planą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Sandėlių investicijos (4,2 mln. EUR, ES lėšos)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Baigta 2026-09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Parduoti Alpha Osta dalį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Pardavimas užbaigtas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7,5 % obligacija, 8 mln. EUR, išleista 2024-12, išpirkimas 2028-12-12, kuponas kas ketvirtį; Nasdaq Riga First North nuo 2025-03-05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koreguota kapitalo dalis ≥20 % (yra 29,4 %), koreguota EBITDA ≥2 kartų palūkanų (yra 2,7) – laikomasi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Rezervas iki ribų sumažėjo per metus (kapitalo dalis 32,8 % → 29,4 %).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Eilė ir užtikrinimas:</w:t>
      </w:r>
      <w:r>
        <w:rPr>
          <w:b w:val="0"/>
        </w:rPr>
        <w:t xml:space="preserve"> obligacija sudaro mažą skolos dalį (8 iš ~63,5 mln. EUR); rangas ir užtikrinimas ataskaitose nerasti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maža pelno marža ir auganti skola, bet sąlygų laikomasi ir pelnas stabilus.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Žemos grūdų kainos:</w:t>
      </w:r>
      <w:r>
        <w:rPr>
          <w:b w:val="0"/>
        </w:rPr>
        <w:t xml:space="preserve"> grūdų kainos išliko žemos, o gamybos kaštai aukšti – pardavimo kainos gerokai žemesnės nei per ankstesnius penkerius metus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 ES augintojų kaštai didesni nei konkuruojančių eksporto regionų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Oras:</w:t>
      </w:r>
      <w:r>
        <w:rPr>
          <w:b w:val="0"/>
        </w:rPr>
        <w:t xml:space="preserve"> per drėgna vasara ir ruduo apsunkino derliaus nuėmimą; neįprastai didelė dalis grūdų neatitiko maistinių reikalavimų ir parduota pašarams, tačiau bendras derlius buvo geresnis nei prognozuota</w:t>
      </w:r>
      <w:hyperlink r:id="rId17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Rezultatas:</w:t>
      </w:r>
      <w:r>
        <w:rPr>
          <w:b w:val="0"/>
        </w:rPr>
        <w:t xml:space="preserve"> apyvarta 240 mln. EUR, pelnas 2,7 mln. EUR (1,1 % apyvartos); pelningumą slegia augantys verslo ir darbo kaštai Latvijoje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2026-08-01 – 2026-10-30: 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LATRAPS nopelnījis 2,7 miljonus eiro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Grūdų ir rapsų prekyba bei perdirbimas 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žemės ūkio politikos apribotos veiklos (miškų kirtimas, nesertifikuotas palmių aliejus ar soja) nenustatytos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Baudų, pažeidimų ar skundų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Korupcijos nuosprendžių nėra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2026-10-30).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2026-08-01 – 2026-10-30: 1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Žirnių baltymų gamykla – augalinių baltymų gamyba iš vietinių žaliavų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Tikslai: atsinaujinančios energijos +50 % per penkerius metus, 10 elektromobilių per metus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Raudonų signalų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nurodo, kad oficialaus klimato rizikos vertinimo dar neatliko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Žemės ūkio politika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Pirmoji tvarumo ataskaita pagal ESRS / VSME, pranešimų apie pažeidimus kanalas, nulinės nelaimingų atsitikimų darbe tikslas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rizikos vertinimas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tvarumo ataskaita pradėta skelbti, rimtų trūkumų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Skelbiamos 1 apimties CO2 emisijos ir darbuotojų skaičius (trejų metų duomenys)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Pirmoji tvarumo ataskaita paskelbta; klimato rizikos vertinimas dar neatliktas.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LATRAPS - Annual report FY2024/25 (audited, KPMG Baltics), p. 10,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LATRAPS - Sustainability report FY2025/26,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LATRAPS - 12-month report FY2025/26 (unaudited, local GAAP), p.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LATRAPS - 6-month report H1 FY2025/26 (Jul-Dec 2025, 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4-5, 7,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LATRAPS - 12-month report FY2025/26 (unaudited, local GAAP), p.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13-14,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LATRAPS - Annual report FY2024/25 (audited, KPMG Baltics), p. 11,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LATRAPS - 6-month report H1 FY2025/26 (Jul-Dec 2025, 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LATRAPS - Annual report FY2024/25 (audited, KPMG Baltics), p. 12,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LATRAPS - 6-month report H1 FY2025/26 (Jul-Dec 2025, 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LATRAPS - 12-month report FY2025/26 (unaudited, local GAAP), p. 14,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LATRAPS - 6-month report H1 FY2025/26 (Jul-Dec 2025, 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LATRAPS - Annual report FY2024/25 (audited, KPMG Baltics),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LATRAPS - 6-month report H1 FY2025/26 (Jul-Dec 2025, 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LATRAPS - Annual report FY2024/25 (audited, KPMG Baltics), p. 8,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Nasdaq Baltic - LATRAPS 7.5% bond LV0000805349,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LATRAPS - 12-month report FY2025/26 (unaudited, local GAAP),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LATRAPS - 12-month report FY2025/26 (unaudited, local GAAP), p.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LATRAPS - 12-month report FY2025/26 (unaudited, local GAAP),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7">
        <w:r>
          <w:rPr>
            <w:color w:val="2A78D6"/>
            <w:sz w:val="17"/>
          </w:rPr>
          <w:t xml:space="preserve">LATRAPS - 12-month report FY2025/26 (unaudited, local GAAP), p.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9">
        <w:r>
          <w:rPr>
            <w:color w:val="2A78D6"/>
            <w:sz w:val="17"/>
          </w:rPr>
          <w:t xml:space="preserve">LATRAPS - Sustainability report FY2025/26, p. 23, 37,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0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1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2">
        <w:r>
          <w:rPr>
            <w:color w:val="2A78D6"/>
            <w:sz w:val="17"/>
          </w:rPr>
          <w:t xml:space="preserve">LATRAPS - Sustainability report FY2025/26,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3">
        <w:r>
          <w:rPr>
            <w:color w:val="2A78D6"/>
            <w:sz w:val="17"/>
          </w:rPr>
          <w:t xml:space="preserve">LATRAPS - Sustainability report FY2025/26, p. 18,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4">
        <w:r>
          <w:rPr>
            <w:color w:val="2A78D6"/>
            <w:sz w:val="17"/>
          </w:rPr>
          <w:t xml:space="preserve">LATRAPS - Sustainability report FY2025/26, p. 3, 19, 36,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5">
        <w:r>
          <w:rPr>
            <w:color w:val="2A78D6"/>
            <w:sz w:val="17"/>
          </w:rPr>
          <w:t xml:space="preserve">LATRAPS - Sustainability report FY2025/26, p. 22, 27, 2026-09-30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LATRAPS</w:t>
    </w:r>
    <w:r>
      <w:rPr>
        <w:b w:val="0"/>
        <w:color w:val="667085"/>
        <w:sz w:val="16"/>
      </w:rPr>
      <w:tab/>
      <w:t>Emitento apžvalga · FY2026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latra/2025_ar_en_las.pdf#page=10" TargetMode="External"/><Relationship Id="rId13" Type="http://schemas.openxmlformats.org/officeDocument/2006/relationships/hyperlink" Target="https://nasdaqbaltic.com/market/upload/reports/latra/2026_q4_en_las.pdf#page=12" TargetMode="External"/><Relationship Id="rId14" Type="http://schemas.openxmlformats.org/officeDocument/2006/relationships/hyperlink" Target="https://nasdaqbaltic.com/market/upload/reports/latra/2026_esg_en.pdf#page=6" TargetMode="External"/><Relationship Id="rId15" Type="http://schemas.openxmlformats.org/officeDocument/2006/relationships/hyperlink" Target="https://nasdaqbaltic.com/market/upload/reports/latra/2026_q4_en_las.pdf#page=7" TargetMode="External"/><Relationship Id="rId16" Type="http://schemas.openxmlformats.org/officeDocument/2006/relationships/hyperlink" Target="https://nasdaqbaltic.com/market/upload/reports/latra/2026_q2_en_las.pdf#page=12" TargetMode="External"/><Relationship Id="rId17" Type="http://schemas.openxmlformats.org/officeDocument/2006/relationships/hyperlink" Target="https://nasdaqbaltic.com/market/upload/reports/latra/2026_q4_en_las.pdf#page=4" TargetMode="External"/><Relationship Id="rId18" Type="http://schemas.openxmlformats.org/officeDocument/2006/relationships/hyperlink" Target="https://nasdaqbaltic.com/market/upload/reports/latra/2026_q4_en_las.pdf#page=20" TargetMode="External"/><Relationship Id="rId19" Type="http://schemas.openxmlformats.org/officeDocument/2006/relationships/hyperlink" Target="https://nasdaqbaltic.com/market/upload/reports/latra/2026_q4_en_las.pdf#page=13" TargetMode="External"/><Relationship Id="rId20" Type="http://schemas.openxmlformats.org/officeDocument/2006/relationships/hyperlink" Target="https://nasdaqbaltic.com/market/upload/reports/latra/2025_ar_en_las.pdf#page=11" TargetMode="External"/><Relationship Id="rId21" Type="http://schemas.openxmlformats.org/officeDocument/2006/relationships/hyperlink" Target="https://nasdaqbaltic.com/market/upload/reports/latra/2026_q2_en_las.pdf#page=13" TargetMode="External"/><Relationship Id="rId22" Type="http://schemas.openxmlformats.org/officeDocument/2006/relationships/hyperlink" Target="https://nasdaqbaltic.com/market/upload/reports/latra/2025_ar_en_las.pdf#page=12" TargetMode="External"/><Relationship Id="rId23" Type="http://schemas.openxmlformats.org/officeDocument/2006/relationships/hyperlink" Target="https://nasdaqbaltic.com/market/upload/reports/latra/2026_q2_en_las.pdf#page=14" TargetMode="External"/><Relationship Id="rId24" Type="http://schemas.openxmlformats.org/officeDocument/2006/relationships/hyperlink" Target="https://nasdaqbaltic.com/market/upload/reports/latra/2026_q4_en_las.pdf#page=14" TargetMode="External"/><Relationship Id="rId25" Type="http://schemas.openxmlformats.org/officeDocument/2006/relationships/hyperlink" Target="https://nasdaqbaltic.com/market/upload/reports/latra/2026_q2_en_las.pdf#page=20" TargetMode="External"/><Relationship Id="rId26" Type="http://schemas.openxmlformats.org/officeDocument/2006/relationships/hyperlink" Target="https://nasdaqbaltic.com/market/upload/reports/latra/2025_ar_en_las.pdf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nasdaqbaltic.com/market/upload/reports/latra/2026_q4_en_las.pdf#page=1" TargetMode="External"/><Relationship Id="rId29" Type="http://schemas.openxmlformats.org/officeDocument/2006/relationships/hyperlink" Target="https://nasdaqbaltic.com/market/upload/reports/latra/2026_q2_en_las.pdf#page=8" TargetMode="External"/><Relationship Id="rId30" Type="http://schemas.openxmlformats.org/officeDocument/2006/relationships/hyperlink" Target="https://nasdaqbaltic.com/market/upload/reports/latra/2026_q4_en_las.pdf#page=2" TargetMode="External"/><Relationship Id="rId31" Type="http://schemas.openxmlformats.org/officeDocument/2006/relationships/hyperlink" Target="https://nasdaqbaltic.com/market/upload/reports/latra/2025_ar_en_las.pdf#page=8" TargetMode="External"/><Relationship Id="rId32" Type="http://schemas.openxmlformats.org/officeDocument/2006/relationships/hyperlink" Target="https://nasdaqbaltic.com/statistics/en/instrument/LV0000805349/security?date=2026-10-22" TargetMode="External"/><Relationship Id="rId33" Type="http://schemas.openxmlformats.org/officeDocument/2006/relationships/hyperlink" Target="https://nasdaqbaltic.com/market/upload/reports/latra/2026_q4_en_las.pdf#page=19" TargetMode="External"/><Relationship Id="rId34" Type="http://schemas.openxmlformats.org/officeDocument/2006/relationships/hyperlink" Target="https://nasdaqbaltic.com/market/upload/reports/latra/2026_q4_en_las.pdf#page=18" TargetMode="External"/><Relationship Id="rId35" Type="http://schemas.openxmlformats.org/officeDocument/2006/relationships/hyperlink" Target="https://nasdaqbaltic.com/market/upload/reports/latra/2026_q4_en_las.pdf#page=6" TargetMode="External"/><Relationship Id="rId36" Type="http://schemas.openxmlformats.org/officeDocument/2006/relationships/hyperlink" Target="https://news.google.com/rss/articles/CBMilgFBVV95cUxOTTF2aGhsTm1aWXpIdW5PcGdwc1FiV3JLTnFER0w2RlNoX0dXY0JVbjV1UUNLWV9FbE1VdzVyeVI3VlRCbEtkS01ZMlN0YW42cVBheUltdnlVNVZYSk1QcHBkUmhNT3BSQkd3WFZrR3FqemlyX05QRFNCRk1TYjhlbFI0dW8wWjZEMGRNcjNYeXo4cDBNR2c?oc=5" TargetMode="External"/><Relationship Id="rId37" Type="http://schemas.openxmlformats.org/officeDocument/2006/relationships/hyperlink" Target="https://nasdaqbaltic.com/market/upload/reports/latra/2026_q4_en_las.pdf#page=5" TargetMode="External"/><Relationship Id="rId38" Type="http://schemas.openxmlformats.org/officeDocument/2006/relationships/hyperlink" Target="https://sebgroup.com/sustainability/our-sustainability-strategy/policies" TargetMode="External"/><Relationship Id="rId39" Type="http://schemas.openxmlformats.org/officeDocument/2006/relationships/hyperlink" Target="https://nasdaqbaltic.com/market/upload/reports/latra/2026_esg_en.pdf#page=23" TargetMode="External"/><Relationship Id="rId40" Type="http://schemas.openxmlformats.org/officeDocument/2006/relationships/hyperlink" Target="https://sanctionssearch.ofac.treas.gov/" TargetMode="External"/><Relationship Id="rId41" Type="http://schemas.openxmlformats.org/officeDocument/2006/relationships/hyperlink" Target="https://www.sanctionsmap.eu/#/main" TargetMode="External"/><Relationship Id="rId42" Type="http://schemas.openxmlformats.org/officeDocument/2006/relationships/hyperlink" Target="https://nasdaqbaltic.com/market/upload/reports/latra/2026_esg_en.pdf#page=19" TargetMode="External"/><Relationship Id="rId43" Type="http://schemas.openxmlformats.org/officeDocument/2006/relationships/hyperlink" Target="https://nasdaqbaltic.com/market/upload/reports/latra/2026_esg_en.pdf#page=18" TargetMode="External"/><Relationship Id="rId44" Type="http://schemas.openxmlformats.org/officeDocument/2006/relationships/hyperlink" Target="https://nasdaqbaltic.com/market/upload/reports/latra/2026_esg_en.pdf#page=3" TargetMode="External"/><Relationship Id="rId45" Type="http://schemas.openxmlformats.org/officeDocument/2006/relationships/hyperlink" Target="https://nasdaqbaltic.com/market/upload/reports/latra/2026_esg_en.pdf#page=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