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0.7 %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▼ 0.01x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 w:val="0"/>
        </w:rPr>
        <w:t>6M Adjusted EBITDA EUR 306.6m (+1.9%). Networks and Customers &amp; Solutions grew, Green Capacities declined (EUR 149.2m vs 166.6m)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guidance of EUR 550-600m reiterated; 6M equals 51-56% of it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stable:</w:t>
      </w:r>
      <w:r>
        <w:rPr>
          <w:b w:val="0"/>
        </w:rPr>
        <w:t xml:space="preserve"> net debt EUR 1,925.3m (+0.7% since YE2025), net debt / Adjusted EBITDA 3.49x, FFO / net debt 22.2% (strategic target ≥23%)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unchanged:</w:t>
      </w:r>
      <w:r>
        <w:rPr>
          <w:b w:val="0"/>
        </w:rPr>
        <w:t xml:space="preserve"> S&amp;P BBB+ (stable, 2026-07-28), Moody's Baa1 (stable, first-time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Relevant for held bond XS1646530565 (2.000%, 2027-07-14):</w:t>
      </w:r>
      <w:r>
        <w:rPr>
          <w:b w:val="0"/>
        </w:rPr>
        <w:t xml:space="preserve"> tender offer announced on 2026-10-19, financed with a new EUR 300m 4.500% EuGB bond due 2031-10-27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Adjusted net profit fell 20.8% to EUR 115.8m; Adjusted ROCE (LTM) 6.7% (8.6% a year earlier)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3.49x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22.2%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6.7%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declined due to weaker wind in Q1-Q2 and a lower hedge price (EUR 130 → 82/MWh)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587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26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weapons, tobacco or gambling. No coal generation and no oil &amp; gas exploration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red flags (UNGC / OECD breaches) found in public sources and the news scan (2026-10-22). Ignitis states it upholds the UN Global Compact principles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automatic news scan (LT, LV, EE, EN; 30 days) found no adverse headlines.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b w:val="0"/>
          <w:color w:val="333333"/>
          <w:sz w:val="19"/>
        </w:rPr>
        <w:t>; 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EU Taxonomy-aligned capex 84.7% in 2025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SBTi-validated targets in line with 1.5°C; net zero by 2050 or sooner</w:t>
      </w:r>
      <w:hyperlink r:id="rId32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Possible yellow flag: a contractor employee was fatally injured in February 2026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 Scope 1 emissions rose 54.7% in 2025 due to higher gas generation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Fossil fuel policy - met (no coal, no oil &amp; gas exploration). Electricity &amp; renewables, climate and human rights policy content could not be read automatically (SEB PDFs block automated reading) - manual check needed.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 w:val="0"/>
          <w:color w:val="333333"/>
          <w:sz w:val="19"/>
        </w:rPr>
        <w:t>No need identified. Possible topics: share of gas generation and Scope 1 growth, contractor safety.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Available PAI data: total GHG emissions 4.49m t CO2e (+10.1%)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carbon intensity (Scope 1+2) 214 g CO2e/kWh in Q1 2026 (−12.8%)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; Taxonomy-aligned capex 84.7%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Comparison with the Fund's targets - analyst.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Exclusionary screening without findings (sanctions and media to be confirmed by the analyst). Positives: high Taxonomy-aligned capex, SBTi targets. Watch the share of gas generation and safety.</w:t>
      </w:r>
    </w:p>
    <w:p>
      <w:r>
        <w:rPr>
          <w:i/>
          <w:color w:val="5F6B7A"/>
          <w:sz w:val="16"/>
        </w:rPr>
        <w:t>SEB policies applied: Fossil Fuels (coal, oil &amp; gas, peat) sector policy; Electricity &amp; Renewable Energy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(verify revenue and net profit in the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