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0,7 %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▼ 0,01x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6 mėn. koreguota EBITDA – 306,6 mln. EUR (+1,9 %). Augo Tinklai ir Klientai ir sprendimai, mažėjo Žalioji generacija (149,2 mln. EUR, 2025 m. – 166,6 mln.)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2026 m. prognozė 550–600 mln. EUR patvirtinta; per pusmetį pasiekta 51–56 % jos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stabili:</w:t>
      </w:r>
      <w:r>
        <w:rPr>
          <w:b w:val="0"/>
        </w:rPr>
        <w:t xml:space="preserve"> grynoji skola 1 925,3 mln. EUR (+0,7 % nuo 2025 m. pabaigos), grynoji skola / koreguota EBITDA 3,49x, FFO / grynoji skola 22,2 % (strateginis tikslas ≥23 %)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nepakito:</w:t>
      </w:r>
      <w:r>
        <w:rPr>
          <w:b w:val="0"/>
        </w:rPr>
        <w:t xml:space="preserve"> S&amp;P BBB+ (stabili, 2026-07-28),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Svarbu turimai obligacijai XS1646530565 (2,000 %, 2027-07-14): 2026-10-19 paskelbtas supirkimo pasiūlymas (tender offer), finansuojamas nauja 300 mln. EUR 4,500 % EuGB obligacija iki 2031-10-27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Koreguotas grynasis pelnas sumažėjo 20,8 % iki 115,8 mln. EUR; koreguota ROCE (12 mėn.) – 6,7 % (buvo 8,6 %)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3,49x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22,2 %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6,7 %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587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26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Ginklų, tabako ir lošimų veiklos nėra. Anglies generacijos nėra, naftos ir dujų žvalgybos nėra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 Ignitis skelbia, kad laikosi UN Global Compact principų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Automatinė naujienų paieška (LT, LV, EE, EN; 30 d.) neigiamų antraščių nerado.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b w:val="0"/>
          <w:color w:val="333333"/>
          <w:sz w:val="19"/>
        </w:rPr>
        <w:t>; 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SBTi patvirtino tikslus pagal 1,5 °C trajektoriją; nulinė emisija iki 2050 m. ar anksčiau</w:t>
      </w:r>
      <w:hyperlink r:id="rId32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Galimas geltonas signalas: 2026 m. vasarį žuvo rangovo darbuotojas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 1 apimties emisijos 2025 m. išaugo 54,7 % dėl didesnės dujų generacijos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Iškastinio kuro politika – atitinka (anglies ir naftos / dujų žvalgybos nėra). Elektros ir atsinaujinančios energijos, klimato ir žmogaus teisių politikų turinys automatiškai neperskaitytas (SEB PDF blokuoja automatinį skaitymą) – reikia rankinės patikros.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Būtinybės nenustatyta. Galimos temos: dujų generacijos dalis ir 1 apimties emisijų augimas, rangovų sauga.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Turimi PAI duomenys: bendros ŠESD emisijos 4,49 mln. t CO2e (+10,1 %)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anglies intensyvumas (1+2) 214 g CO2e/kWh I ketv. 2026 (−12,8 %)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; taksonomiją atitinkančios investicijos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patikra be pastabų (sankcijas ir žiniasklaidą patvirtina analitikas). Teigiama: didelė taksonomiją atitinkančių investicijų dalis, SBTi tikslai. Stebėti dujų generacijos dalį ir saugą.</w:t>
      </w:r>
    </w:p>
    <w:p>
      <w:r>
        <w:rPr>
          <w:i/>
          <w:color w:val="5F6B7A"/>
          <w:sz w:val="16"/>
        </w:rPr>
        <w:t>Taikytos SEB politikos: Fossil Fuels (coal, oil &amp; gas, peat) sector policy; Electricity &amp; Renewable Energy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(pajamas ir grynąjį pelną patikrinti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