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0.6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12.4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1H 2026 net profit EUR 72.0m (1H 2025:</w:t>
      </w:r>
      <w:r>
        <w:rPr>
          <w:b w:val="0"/>
        </w:rPr>
        <w:t xml:space="preserve"> 91.6m), 2Q EUR 37.4m (46.2m); ROE 7.7%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high:</w:t>
      </w:r>
      <w:r>
        <w:rPr>
          <w:b w:val="0"/>
        </w:rPr>
        <w:t xml:space="preserve"> CET1 19.6%, total capital 23.7%, MREL 36.34% of TREA (requirement 23.69% + buffers), LCR 187.0%, NSFR 142.3%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Change of owner:</w:t>
      </w:r>
      <w:r>
        <w:rPr>
          <w:b w:val="0"/>
        </w:rPr>
        <w:t xml:space="preserve"> on 2026-07-20 it was announced that OTP Bank will acquire 100% of Luminor Holding from the Blackstone-led consortium and DNB; regulatory approvals pending. Moody's affirmed the rating and outlook after the announcement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regulator (ECB, 2026-07-17) approved a CET1 capital reduction of EUR 200.0m, expected in Q4 2026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Funding:</w:t>
      </w:r>
      <w:r>
        <w:rPr>
          <w:b w:val="0"/>
        </w:rPr>
        <w:t xml:space="preserve"> in 1H 2026 a EUR 300m senior bond (MS+4.471%) was redeemed and an inaugural EUR 500m senior non-preferred bond issued (MS+1.28%)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XS2633112565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7.75%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7.750%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2027-06-08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Placements page shows 12.06.2028 in maturity column but 2029 in name - likely call 2028 / final 2029; check Final Terms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7.375% perpetual (AT1?)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Perpetual; annual report mentions inaugural EUR 150m AT1 in 2025 - link to this ISIN not confirmed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65.5%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7.7%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19.6%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23.7%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9.9%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187.0%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142.3%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2.1%</w:t>
            </w:r>
          </w:p>
        </w:tc>
      </w:tr>
    </w:tbl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three dated bonds (7.75% 2027, 4.042% 2028, 3.551% 2029) and a perpetual 7.375% bond. Ranking (senior / SNP / AT1), amounts and call dates are not on the issuer's list - check the Final Terms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check bond terms for change of control and the effect of the new owner's rating. XS3079969104 - the issuer list shows maturity 2028-06-12 but 2029 in the name (possibly a 2028 call)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The bank itself is not active in these sectors. No information on lending restrictions to them found automatically (Luminor sustainability pages not readable) - check the 2025 annual report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2026 red flags found in a quick search (2026-10-22). Recommended to check AML history.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Checked by the analyst with internal tools (add a screenshot). Note: new owner OTP Bank (Hungary)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The automatic news scan (30 days) found no adverse headlines; most news is about the OTP deal. 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data on green loans / bonds, ESG rating or ESG policy found automatically.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financed-emissions targets, net zero or NZBA commitment found automatically.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yellow flags found in a quick search; the change of owner (OTP) may change ESG policies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SEB has no dedicated financial sector policy - general rules apply (UNGC, OECD, human rights, Paris goals). Too little bank data found automatically to assess them.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Suggested topics: financed-emissions disclosure, fossil fuel lending policy, ESG policies after the OTP acquisition.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PAI indicators (financed emissions, board gender diversity, etc.) not found automatically - check the 2025 annual report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Too little ESG evidence found automatically; most items need manual review based on the 2025 annual report. Watch ESG policies after the OTP acquisition.</w:t>
      </w:r>
    </w:p>
    <w:p>
      <w:r>
        <w:rPr>
          <w:i/>
          <w:color w:val="5F6B7A"/>
          <w:sz w:val="16"/>
        </w:rPr>
        <w:t>SEB policies applied: Financial sector - no dedicated SEB sector policy (general rules applied); Social and Human Rights Policy; Anti-corruption, Code of Conduct, Tax; Environmental Policy on Climate, Nature and Water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5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lv/sites/default/files/docs/finansu_parskati/luminor_bank_interim_report_2q26.pdf" TargetMode="External"/><Relationship Id="rId14" Type="http://schemas.openxmlformats.org/officeDocument/2006/relationships/hyperlink" Target="https://luminor.lv/sites/default/files/docs/finansu_parskati/luminor_bank_interim_report_2q26.pdf#page=4" TargetMode="External"/><Relationship Id="rId15" Type="http://schemas.openxmlformats.org/officeDocument/2006/relationships/hyperlink" Target="https://luminor.lv/sites/default/files/docs/finansu_parskati/luminor_bank_annual_report_2025-lv.pdf#page=7" TargetMode="External"/><Relationship Id="rId16" Type="http://schemas.openxmlformats.org/officeDocument/2006/relationships/hyperlink" Target="https://luminor.lv/sites/default/files/docs/finansu_parskati/luminor_bank_interim_report_2q26.pdf#page=16" TargetMode="External"/><Relationship Id="rId17" Type="http://schemas.openxmlformats.org/officeDocument/2006/relationships/hyperlink" Target="https://luminor.lv/sites/default/files/docs/finansu_parskati/luminor_bank_annual_report_2025-lv.pdf#page=8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luminor.lv/sites/default/files/docs/finansu_parskati/luminor_bank_annual_report_2025-lv.pdf" TargetMode="External"/><Relationship Id="rId20" Type="http://schemas.openxmlformats.org/officeDocument/2006/relationships/hyperlink" Target="https://luminor.lv/sites/default/files/docs/finansu_parskati/luminor_bank_annual_report_2025-lv.pdf#page=5" TargetMode="External"/><Relationship Id="rId21" Type="http://schemas.openxmlformats.org/officeDocument/2006/relationships/hyperlink" Target="https://luminor.lv/en/placem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