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Credit rating not found in public sources reviewed - check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results - expected November 2026</w:t>
      </w: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Revenue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59.3 EUR m</w:t>
            </w:r>
          </w:p>
          <w:p>
            <w:r>
              <w:rPr>
                <w:color w:val="5F6B7A"/>
                <w:sz w:val="16"/>
              </w:rPr>
              <w:t>▲ 2.4 %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25.8 EUR m</w:t>
            </w:r>
          </w:p>
          <w:p>
            <w:r>
              <w:rPr>
                <w:color w:val="5F6B7A"/>
                <w:sz w:val="16"/>
              </w:rPr>
              <w:t>▼ 13.4 %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6.0 EUR m</w:t>
            </w:r>
          </w:p>
          <w:p>
            <w:r>
              <w:rPr>
                <w:color w:val="5F6B7A"/>
                <w:sz w:val="16"/>
              </w:rPr>
              <w:t>▼ 41.7 %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2.78x</w:t>
            </w:r>
          </w:p>
          <w:p>
            <w:r>
              <w:rPr>
                <w:color w:val="5F6B7A"/>
                <w:sz w:val="16"/>
              </w:rPr>
              <w:t>▲ 0.27x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 w:val="0"/>
        </w:rPr>
        <w:t>6M revenue EUR 59.3m (+2.4%), adjusted EBITDA EUR 25.8m (−13.5%), margin 43.5% (51.5%), net profit EUR 6.0m (−41.7%)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According to the CEO, rising fuel prices and extraordinary ship repairs caused by ice conditions reduced Q2 profitability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stable:</w:t>
      </w:r>
      <w:r>
        <w:rPr>
          <w:b w:val="0"/>
        </w:rPr>
        <w:t xml:space="preserve"> net debt EUR 145.8m, net debt / LTM adjusted EBITDA 2.78x, equity ratio 59.8% (both ratios calculated by the tool)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Dividend EUR 0.073 per share, EUR 19.2m in total - 85% of 2025 profit (policy: at least 70%); paid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The Republic of Estonia holds 67.03%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Former executives' bribery case: on 2024-06-27 the court acquitted on limitation grounds; prosecution and defence appealed, later ruling not found - needs review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59.3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43.5%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Operating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6.0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145.8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2.78xᶜ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59.8%ᶜ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Cargo volume, m t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6.48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Passengers,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3.59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Cargo 6.48m t (−5.0%), mainly liquid bulk (−33.8%); passengers 3.59m (−2.0%); vessel calls −4.8%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Cruise passengers +47.8%, cruise ship calls +29.3% (6M)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Icebreaker Botnica charter 130 days (110)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6M investments EUR 3.5m (12.0m). The 2025 comparison includes a one-off EUR 0.9m gain on the land sale for the Rail Baltica station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85% of profit paid (policy ≥70%)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19,261 t CO2e (−41.8% vs 2019; calculated by the tool, verify)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- assess in the next review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Port operator, ferry services, icebreaker, real estate - no weapons, tobacco, gambling, coal or oil exploration</w:t>
      </w:r>
      <w:hyperlink r:id="rId11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 Handles liquid bulk (oil products), volumes declining (−33.8% in 6M)</w:t>
      </w:r>
      <w:hyperlink r:id="rId11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Former executives' bribery case (from 2015): acquitted on limitation grounds 2024-06-27, appealed by prosecution and defence; later ruling not found. The company is the injured party, not a defendant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Checked by the analyst with internal tools (add a screenshot). Controlled by the Republic of Estonia (67.03%)</w:t>
      </w:r>
      <w:hyperlink r:id="rId11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Found (EE media): the bribery case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 The automatic news scan (30 days) found no newer adverse news. Analyst confirms and adds a screenshot.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Voluntary 2025 sustainability report following CSRD/ESRS principles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; target of 90% renewable energy for own use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Climate-neutral operations by 2050; Scope 1+2 −55% by 2030 (vs 2019); 2025: 19,261 t CO2e (−41.8%, calculated by the tool)</w:t>
      </w:r>
      <w:hyperlink r:id="rId17">
        <w:r>
          <w:rPr>
            <w:color w:val="2A78D6"/>
            <w:vertAlign w:val="superscript"/>
            <w:sz w:val="16"/>
          </w:rPr>
          <w:t xml:space="preserve">13</w:t>
        </w:r>
      </w:hyperlink>
      <w:r>
        <w:rPr>
          <w:b w:val="0"/>
          <w:color w:val="333333"/>
          <w:sz w:val="19"/>
        </w:rPr>
        <w:t>. EU Taxonomy share not found.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Yellow flag - the unresolved bribery case of former executives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SEB shipping and transportation policy content could not be read automatically (SEB PDFs block automated reading). Known: SEB follows the Poseidon Principles, shipping target AER −41% by 2030. Manual check needed.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Suggested topics: ferry fuel emissions and costs, pathway to −55% by 2030, anti-corruption controls after the case.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Available PAI data: Scope 1+2 emissions 19,261 t CO2e (2025)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 Comparison with the Fund's targets - analyst.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excluded sectors; positives are emission targets and sustainability reporting. Review the outcome of the bribery case and fit with SEB shipping / transportation policies.</w:t>
      </w:r>
    </w:p>
    <w:p>
      <w:r>
        <w:rPr>
          <w:i/>
          <w:color w:val="5F6B7A"/>
          <w:sz w:val="16"/>
        </w:rPr>
        <w:t>SEB policies applied: Shipping sector policy; Transportation sector policy; Environmental Policy on Climate, Nature and Water; Social and Human Rights Policy; Anti-corruption, Code of Conduct, Tax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 (verify),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Sustainability Report 2025, p. 22, 2026-04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www.ts.ee/wp-content/uploads/2026/04/Sustainability_Report_2025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