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6 mėn. pajamos 59,3 mln. EUR (+2,4 %), koreguota EBITDA 25,8 mln. EUR (−13,5 %), marža 43,5 % (51,5 %), grynasis pelnas 6,0 mln. EUR (−41,7 %)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Vadovo teigimu, pelningumą II ketv. sumažino kylančios kuro kainos ir neplanuoti laivų remontai po ledo sąlygų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stabili:</w:t>
      </w:r>
      <w:r>
        <w:rPr>
          <w:b w:val="0"/>
        </w:rPr>
        <w:t xml:space="preserve"> grynoji skola 145,8 mln. EUR, grynoji skola / 12 mėn. koreguota EBITDA 2,78x, nuosavo kapitalo dalis 59,8 %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0,073 EUR akcijai, iš viso 19,2 mln. EUR – 85 % 2025 m. pelno (politika – ne mažiau 70 %);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Estijos valstybė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byla: 2024-06-27 teismas išteisino dėl senaties; prokuratūra ir gynyba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43,5 %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2,78xᶜ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59,8 %ᶜ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įrankio, patikrinti)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 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Buvusių vadovų kyšininkavimo byla (pradėta 2015 m.): 2024-06-27 teismas išteisino dėl senaties, prokuratūra ir gynyba apskundė; vėlesnis sprendimas nerastas. Įmonė byloje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 Valdo Estijos valstybė (67,03 %)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Rasta (EE žiniasklaida):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 Naujesnių neigiamų naujienų automatinė paieška (30 d.) nerado.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Klimato neutrali veikla iki 2050 m.; 1+2 apimties emisijos −55 % iki 2030 m. (nuo 2019 m.); 2025 m. – 19 261 t CO2e (−41,8 %, apskaičiuota įrankio)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 ES taksonomijos dalis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Geltonas signalas – neužbaigta buvusių vadovų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SEB laivybos ir transporto politikų turinys automatiškai neperskaitytas (SEB PDF blokuoja automatinį skaitymą). Žinoma: SEB laikosi Poseidon principų, laivybos tikslas – AER −41 % iki 2030 m. Reikia rankinės patikros.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Siūlomi klausimai: keltų kuro emisijos ir sąnaudos, kelias iki −55 % 2030 m., antikorupcijos priemonės po bylos.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Turimi PAI duomenys: 1+2 apimties emisijos 19 261 t CO2e (2025)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 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Išskirtinių sektorių nėra; teigiama – emisijų tikslai ir tvarumo ataskaita. Peržiūrėti kyšininkavimo bylos baigtį ir SEB laivybos / transporto politikų atitiktį.</w:t>
      </w:r>
    </w:p>
    <w:p>
      <w:r>
        <w:rPr>
          <w:i/>
          <w:color w:val="5F6B7A"/>
          <w:sz w:val="16"/>
        </w:rPr>
        <w:t>Taikytos SEB politikos: Shipping sector policy; Transportation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(patikrinti),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