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State development finance institution (loans, guarantees, funds)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3.576%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1H profit EUR 10.1m (+15%), equity ratio about 25% (calculated by the tool),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calculated by the tool)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Demand for state support:</w:t>
      </w:r>
      <w:r>
        <w:rPr>
          <w:b w:val="0"/>
        </w:rPr>
        <w:t xml:space="preserve"> loan book +EUR 86m (+14%), mainly energy-efficiency loans for apartment buildings and investment loans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new transactions EUR 346m (+35%), mostly guarantees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Environment:</w:t>
      </w:r>
      <w:r>
        <w:rPr>
          <w:b w:val="0"/>
        </w:rPr>
        <w:t xml:space="preserve"> despite geopolitical uncertainty, business activity remains strong (construction, trade, manufacturing, renewables)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from 2026 Russian residents are fully barred from support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state programmes continue and new ones start, including a planned EUR 100m fund 'For Growth and Defence'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nasdaqbaltic.com/market/upload/reports/altm/2026_q2_en.pdf#page=14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