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Bigbank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Ba1 long-term deposit rating, outlook negative; BCA ba2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Q4 2026 and annual results - expected February 2027 (monthly results 2026-11-12)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Bigbank 12% AT1 temporary write-down notes (August 2023)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EE3300003581  ·  12 %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9 mėn. pelnas 30,1 mln. EUR (30,2 mln.), paskolos per metus +27 %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CET1 13,2 % – gerokai virš turimos AT1 obligacijos nurašymo ribos (7 %)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 Stebėtina: Moody's perspektyva neigiama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30,1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0,3 %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12,9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1,4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13,2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19,2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stabilus, sąnaudos auga:</w:t>
      </w:r>
      <w:r>
        <w:rPr>
          <w:b w:val="0"/>
        </w:rPr>
        <w:t xml:space="preserve"> 9 mėn. grynosios palūkanų pajamos 94,0 mln. EUR (78,7 mln.), pelnas 30,1 mln. EUR (30,2 mln.); sąnaudų ir pajamų santykis 51,2 % (46,7 %), ROE 12,9 % (14,3 %)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Spartus augimas:</w:t>
      </w:r>
      <w:r>
        <w:rPr>
          <w:b w:val="0"/>
        </w:rPr>
        <w:t xml:space="preserve"> paskolos 3,27 mlrd. EUR (+688 mln. EUR per metus), indėliai 3,52 mlrd. EUR; turtas viršijo 4 mlrd. EUR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Kapitalas:</w:t>
      </w:r>
      <w:r>
        <w:rPr>
          <w:b w:val="0"/>
        </w:rPr>
        <w:t xml:space="preserve"> CET1 13,2 %, bendras kapitalas 19,2 %, sverto rodiklis 8,5 %; LCR 225,8 %</w:t>
      </w:r>
      <w:hyperlink r:id="rId14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Kokybė gerėja:</w:t>
      </w:r>
      <w:r>
        <w:rPr>
          <w:b w:val="0"/>
        </w:rPr>
        <w:t xml:space="preserve"> 3 etapo paskolos 100 mln. EUR – 3,0 % (2025 m. pab. 4,3 %)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EE3300003581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Bigbank 12% AT1 temporary write-down notes (August 2023)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call possible from 5 years after issue (first interest date 2028-09-15, tool-derived); trigger CET1 7%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102,4*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106,2*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19,4 %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112,7*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97,5*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0,3 %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46,7 %*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51,2 %*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4,5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12,9 %*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2 196,5*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2 707,5*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3 268,4*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20,7 %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2 393,3*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2 879,6*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3 523,4*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22,4 %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2 778,4*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3 316,7*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3 152,0*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4 003,6*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27,0 %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299,5*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292,4*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9,9 %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13,2 %*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19,2 %*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8,5 %*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195,0 %*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201,6 %*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225,8 %*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24,2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1,3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gbank_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Estijos kapitalo bankas, veikiantis 9 šalyse; daugiau nei 222 000 aktyvių klientų; tikslas – tapti pagrindiniu banku Baltijos šalyse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 m.:</w:t>
      </w:r>
      <w:r>
        <w:rPr>
          <w:b w:val="0"/>
        </w:rPr>
        <w:t xml:space="preserve"> Apple Pay, Google Pay, einamoji sąskaita su 2 % palūkanomis; III ketv. išleista 17,23 mln. EUR naujų AT1 obligacijų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37,9 mln. EUR (32,3 mln.), ROE 13,3 % (12,5 %), CET1 13,4 % (13,1 %), bendras kapitalas 18,7 % (18,2 %)</w:t>
      </w:r>
      <w:hyperlink r:id="rId20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Dividendų politika:</w:t>
      </w:r>
      <w:r>
        <w:rPr>
          <w:b w:val="0"/>
        </w:rPr>
        <w:t xml:space="preserve"> iki 25 % audituoto pelno, bet ne daugiau 8 mln. EUR per metus; 2026 m. išmokėta 8,0 mln. EUR</w:t>
      </w:r>
      <w:hyperlink r:id="rId2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2022–2026: ROE 20 %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ROE 12,9 %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Paskutiniais strategijos metais ROE gerokai žemiau tikslo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– 25 % pelno, ne daugiau 8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išmokėta 8,0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politiką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12 % neterminuota AT1 obligacija EE3300003581 (2023 m. rugpjūčio serija), išleista 2023-08-31, 5,08 mln. EUR, kuponas kas ketvirtį; nekotiruojama (privatus platinimas)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išpirkti galima ne anksčiau kaip po 5 metų (pirmoji palūkanų data po to – 2028-09-15, apskaičiuota įrankio), su priežiūros institucijos leidimu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Jei grupės ar banko CET1 nukristų žemiau 7 %, nominali vertė laikinai nurašoma; kuponą bankas gali atšaukti savo nuožiūra, atšaukti kuponai nekaupiami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Atsarga:</w:t>
      </w:r>
      <w:r>
        <w:rPr>
          <w:b w:val="0"/>
        </w:rPr>
        <w:t xml:space="preserve"> CET1 13,2 % – apie 6 p. p. virš nurašymo ribos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AT1 yra žemiausio rango skola (žemiau indėlių ir Tier 2)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pelningas ir augantis bankas su pakankamu kapitalu, bet AT1 ir neigiama Moody's perspektyva.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Euribor kilo:</w:t>
      </w:r>
      <w:r>
        <w:rPr>
          <w:b w:val="0"/>
        </w:rPr>
        <w:t xml:space="preserve"> 6 mėn. Euribor per III ketv. pakilo nuo maždaug 2,6 % iki 3,1 %; bankas tai sieja su Artimųjų Rytų konfliktais, kurie kėlė energijos kainas ir infliaciją, ECB vėl didino palūkanas, o rinka tikisi, kad jos ilgiau išliks aukštos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ir kokybė:</w:t>
      </w:r>
      <w:r>
        <w:rPr>
          <w:b w:val="0"/>
        </w:rPr>
        <w:t xml:space="preserve"> III ketv. grynosios palūkanų pajamos 33,8 mln. EUR (+23,7 %); kredito nuostolių sąnaudos 2,2 mln. EUR (–9,7 %), 3 etapo paskolos sumažėjo iki 3,0 % portfelio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 Paskolų paklausa stabili, Baltijos perspektyva – vidutiniškai teigiama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Sąnaudos:</w:t>
      </w:r>
      <w:r>
        <w:rPr>
          <w:b w:val="0"/>
        </w:rPr>
        <w:t xml:space="preserve"> darbo užmokesčio išlaidos +24 %, darbuotojų +20 % (741) – plečiamos kasdienės bankininkystės paslaugos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2026-07-24 – 2026-10-22: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Tegevust laiendav Bigbank suurendas kasumit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dar 1 panašūs pranešimai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(vartojimo, būsto ir verslo paskolos)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Naujų 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Anksčiau: 2024 m. Finansų inspekcija nurodė pagerinti kredito rizikos nurašymų metodiką, baudos nebuvo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Metinėje ataskaitoje yra tvarumo ataskaita (nuo p. 40)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ataskaita rengiama pagal ESRS, su užtikrinimo išvada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Reguliuojamas ES bankas su tvarumo ataskaita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rodikliai skelbiami metinėje ataskaitoje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Bigbank - Reporting page, Moody's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Bigbank - Investor relations (calendar),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Bigbank - Q3 2026 results blog,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Bigbank - Interim report Q3 2026 (unaudited, ET), p.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Bigbank - AT1 August 2023 bond page and Final Terms,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Bigbank - Annual report 2025 incl. sustainability report (audited, ET), p. 15,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Bigbank - Annual report 2025 incl. sustainability report (audited, ET), p. 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Bigbank - Interim report Q3 2026 (unaudited, ET), p.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Bigbank - Interim report Q3 2026 (unaudited, ET), p. 18,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Bigbank - Interim report Q3 2026 (unaudited, ET), p. 14,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18-19,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Bigbank - Annual report 2025 incl. sustainability report (audited, ET), p. 13,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7">
        <w:r>
          <w:rPr>
            <w:color w:val="2A78D6"/>
            <w:sz w:val="17"/>
          </w:rPr>
          <w:t xml:space="preserve">Bigbank - Interim report Q3 2026 (unaudited, ET), p. 13,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(6(e)),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(5(2), 7),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(4),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Bigbank - Interim report Q3 2026 (unaudited, ET), p. 6,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Finantsinspektsioon - precept to Bigbank AS, 2024-03-04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Bigbank - Annual report 2025 incl. sustainability report (audited, ET), p. 40,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Bigbank - Annual report 2025 incl. sustainability report (audited, ET), p. 40, 222,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Bigbank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Bigbank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Bigbank</w:t>
    </w:r>
    <w:r>
      <w:rPr>
        <w:b w:val="0"/>
        <w:color w:val="667085"/>
        <w:sz w:val="16"/>
      </w:rPr>
      <w:tab/>
      <w:t>Emitento apžvalga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bigbank.eu/et/reporting/" TargetMode="External"/><Relationship Id="rId13" Type="http://schemas.openxmlformats.org/officeDocument/2006/relationships/hyperlink" Target="https://investor.bigbank.eu/et" TargetMode="External"/><Relationship Id="rId14" Type="http://schemas.openxmlformats.org/officeDocument/2006/relationships/hyperlink" Target="https://static.bigbank.eu/investor/assets/2026/10/Bigbank_vahearuanne_kv3_2026.pdf#page=7" TargetMode="External"/><Relationship Id="rId15" Type="http://schemas.openxmlformats.org/officeDocument/2006/relationships/hyperlink" Target="https://www.bigbank.ee/blogi/bigbanki-2026-aasta-kolmanda-kvartali-majandustulemused/" TargetMode="External"/><Relationship Id="rId16" Type="http://schemas.openxmlformats.org/officeDocument/2006/relationships/hyperlink" Target="https://static.bigbank.eu/investor/assets/2026/10/Bigbank_vahearuanne_kv3_2026.pdf#page=10" TargetMode="External"/><Relationship Id="rId17" Type="http://schemas.openxmlformats.org/officeDocument/2006/relationships/hyperlink" Target="https://investor.bigbank.eu/et/allutatud-volakirjad/?bond=at1-august-2023" TargetMode="External"/><Relationship Id="rId18" Type="http://schemas.openxmlformats.org/officeDocument/2006/relationships/hyperlink" Target="https://static.bigbank.eu/investor/assets/2026/10/Bigbank_vahearuanne_kv3_2026.pdf#page=5" TargetMode="External"/><Relationship Id="rId19" Type="http://schemas.openxmlformats.org/officeDocument/2006/relationships/hyperlink" Target="https://static.bigbank.eu/investor/assets/2026/02/Bigbank_aastaaruanne_2025.pdf#page=15" TargetMode="External"/><Relationship Id="rId20" Type="http://schemas.openxmlformats.org/officeDocument/2006/relationships/hyperlink" Target="https://static.bigbank.eu/investor/assets/2026/02/Bigbank_aastaaruanne_2025.pdf#page=18" TargetMode="External"/><Relationship Id="rId21" Type="http://schemas.openxmlformats.org/officeDocument/2006/relationships/hyperlink" Target="https://static.bigbank.eu/investor/assets/2026/02/Bigbank_aastaaruanne_2025.pdf#page=19" TargetMode="External"/><Relationship Id="rId22" Type="http://schemas.openxmlformats.org/officeDocument/2006/relationships/hyperlink" Target="https://static.bigbank.eu/investor/assets/2026/10/Bigbank_vahearuanne_kv3_2026.pdf#page=11" TargetMode="External"/><Relationship Id="rId23" Type="http://schemas.openxmlformats.org/officeDocument/2006/relationships/hyperlink" Target="https://static.bigbank.eu/investor/assets/2026/10/Bigbank_vahearuanne_kv3_2026.pdf#page=18" TargetMode="External"/><Relationship Id="rId24" Type="http://schemas.openxmlformats.org/officeDocument/2006/relationships/hyperlink" Target="https://static.bigbank.eu/investor/assets/2026/10/Bigbank_vahearuanne_kv3_2026.pdf#page=14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static.bigbank.eu/investor/assets/2026/02/Bigbank_aastaaruanne_2025.pdf#page=13" TargetMode="External"/><Relationship Id="rId27" Type="http://schemas.openxmlformats.org/officeDocument/2006/relationships/hyperlink" Target="https://static.bigbank.eu/investor/assets/2026/10/Bigbank_vahearuanne_kv3_2026.pdf#page=13" TargetMode="External"/><Relationship Id="rId28" Type="http://schemas.openxmlformats.org/officeDocument/2006/relationships/hyperlink" Target="https://static.bigbank.eu/investor/assets/2023/09/Terms-and-Conditions-of-Bigbank-AT1-Temporary-Write-Down-Notes-August-2023-2.pdf" TargetMode="External"/><Relationship Id="rId29" Type="http://schemas.openxmlformats.org/officeDocument/2006/relationships/hyperlink" Target="https://static.bigbank.eu/investor/assets/2026/10/Bigbank_vahearuanne_kv3_2026.pdf#page=6" TargetMode="External"/><Relationship Id="rId30" Type="http://schemas.openxmlformats.org/officeDocument/2006/relationships/hyperlink" Target="https://news.google.com/rss/articles/CBMilAFBVV95cUxNM1BXV2xRT1BFZ0J3b29QSTcycTNsUUNvdGFCVnY1dVp1MUkwcjlFRnc4YnZ2enFqTFlSb09FdXBCeU1TeFBBYjExejkyczB6OXNidVg4enp1N20xWXVna0xlMG5tVk5TVld4TzNuOUxOendHQzhmZkdxMWJHMEtxYjFCR3Q1RHVzZjZ1X3hHbkh0VVJ0?oc=5" TargetMode="External"/><Relationship Id="rId31" Type="http://schemas.openxmlformats.org/officeDocument/2006/relationships/hyperlink" Target="https://fi.ee/en/news/finantsinspektsioon-issued-precept-bigbank" TargetMode="External"/><Relationship Id="rId32" Type="http://schemas.openxmlformats.org/officeDocument/2006/relationships/hyperlink" Target="https://static.bigbank.eu/investor/assets/2026/02/Bigbank_aastaaruanne_2025.pdf#page=40" TargetMode="External"/><Relationship Id="rId33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