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(retail and SME banking in Estonia)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25.6m (+19%, calculated by the tool), CET1 14.75%, total capital 19.86%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To watch: on 2026-10-21 the Estonian FSA ordered improvements to governance, internal control and risk management (no fine)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19.1 %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213.29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9M net interest income EUR 63.1m (54.2m), profit EUR 25.6m (21.5m); Q3 ROE 14.6%, cost/income 52.5%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loans EUR 2.30bn (+14% year on year, calculated by the tool), deposits EUR 2.37bn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liquidity:</w:t>
      </w:r>
      <w:r>
        <w:rPr>
          <w:b w:val="0"/>
        </w:rPr>
        <w:t xml:space="preserve"> CET1 14.75%, T1 16.72%, total 19.86%; leverage 7.88%; LCR 213%, NSFR 125%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after an inspection, on 2026-10-21 the Estonian FSA ordered improvements to governance, internal control, risk management, reporting and lending procedures; the bank agrees, deadlines in 2026-2027, no impact on reported results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2.7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2,114.1*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2,301.4*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2,124.5*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1,957.9*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2,368.6*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14.28%*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14.75%*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18.54%*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19.86%*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185.45%*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213.29%*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125.16%*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 bank whose strategic shareholder is Coop Eesti; Coop Investeeringud 22%, Coop cooperatives 19%, Andres Sonn 8%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September 2026 the EMTN programme was raised to EUR 1.5bn (adding senior unsecured and Tier 2 notes); a synthetic securitisation with the EIF was finalised in June 2026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28.7m (32.2m), ROE 12.9% (16.2%), cost/income 52.3% (49.6%)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6.5 cents a share paid in April 2026; policy is 25% of pre-tax profit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By 2030: 10% loan market share, profit ≥EUR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profit EUR 25.6m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≥15%, cost/income &lt;45%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Q3 ROE 14.6%, cost/income 52.5%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near target, costs still too high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Implement the FSA precept (2026-2027)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commitment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EE3300003649, issued 2023-09-18, EUR 12m, quarterly coupon; first call date 2028-09-18; unlisted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subordinated, below deposits and Tier 2; the bank may cancel coupons at its discretion and cancelled coupons do not accumulate; principal is temporarily written down if group CET1 falls below the trigger in the Final Terms (this series' trigger level was not found)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14.75%, well above requirements; the bank meets all capital requirements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 bank with good capital headroom; AT1 risk and a supervisory precept.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and Euribor:</w:t>
      </w:r>
      <w:r>
        <w:rPr>
          <w:b w:val="0"/>
        </w:rPr>
        <w:t xml:space="preserve"> Q3 profit EUR 9.1m (+30% y/y) on higher lending volumes, good portfolio quality and rising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NIM 3.2% (3.0% a year earlier)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 and risk:</w:t>
      </w:r>
      <w:r>
        <w:rPr>
          <w:b w:val="0"/>
        </w:rPr>
        <w:t xml:space="preserve"> cost of funding 2.1% (2.3%), deposits +EUR 131m in the quarter; impairments EUR 0.4m, overdue loans 2% (2.3%)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Targets:</w:t>
      </w:r>
      <w:r>
        <w:rPr>
          <w:b w:val="0"/>
        </w:rPr>
        <w:t xml:space="preserve"> more than EUR 60m annual profit by 2030 and faster growth than the Estonian banking market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on 2026-10-21 the press reported that the Estonian FSA ordered the bank to change its internal control and lending processes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Shares:</w:t>
      </w:r>
      <w:r>
        <w:rPr>
          <w:b w:val="0"/>
        </w:rPr>
        <w:t xml:space="preserve"> the bank is buying back its own shares (notice 2026-10-19); Trigon bought shares for more than EUR 1m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2026-07-24 – 2026-10-22: 12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Retail and SME banking in Estonia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2026-10-21 the FSA ordered improvements to governance, internal control and risk management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fine, the bank agrees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12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Finances solar and wind projects (81.3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ESG policy is approved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is published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a supervisory precept on governance and internal control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an ESG policy and a sustainability report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are not disclosed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precept is supervised by the FSA.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financing is reported (81.3 MW, about 3.8% of the corporate portfolio)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a supervisory precept on governance.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8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5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6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7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3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