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Inbank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Bank (consumer finance, point-of-sale and car financing in the Baltics, Poland, Czechia; deposits in EU)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No public credit rating found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Q3 2026 results - expected late October /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Inbank 7.5% AT1 perpetual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EE3300002286  ·  7.5% · perpetual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Inbank 5.5% subordinated 2031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EE3300002302  ·  5.5% · 2031-12-15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1H profit EUR 8.3m (+2%), ROE 9.6%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Capital is above requirements: CET1 13.15% (requirement 9.85%), total capital 18.38% (14.66%)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8.3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2.5 %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9.6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0.3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13.15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0.12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Total capital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18.38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1.07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Stable profit:</w:t>
      </w:r>
      <w:r>
        <w:rPr>
          <w:b w:val="0"/>
        </w:rPr>
        <w:t xml:space="preserve"> 1H net profit EUR 8.3m (8.1m), Q2 EUR 4.3m (3.6m); ROE 9.6%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Capital with headroom:</w:t>
      </w:r>
      <w:r>
        <w:rPr>
          <w:b w:val="0"/>
        </w:rPr>
        <w:t xml:space="preserve"> CET1 13.15%, total capital 18.38%, leverage ratio 10.83%; a new EUR 8.34m AT1 (8.25%) was issued in June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High liquidity:</w:t>
      </w:r>
      <w:r>
        <w:rPr>
          <w:b w:val="0"/>
        </w:rPr>
        <w:t xml:space="preserve"> LCR 1,161%, NSFR 133%; deposits EUR 1,320m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New direction:</w:t>
      </w:r>
      <w:r>
        <w:rPr>
          <w:b w:val="0"/>
        </w:rPr>
        <w:t xml:space="preserve"> a 50/50 embedded-finance joint venture with Eurobank in Greece (licensing under way, launch expected Q1 2027)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EE3300002286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Inbank 7.5% AT1 perpetual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7.5%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Additional Tier 1, perpetual; coupons may be cancelled at Inbank's discretion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EE3300002302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Inbank 5.5% subordinated 2031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5.5%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2031-12-15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 (Tier 2 capital)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2.5 %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67.5*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36.4*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37.5*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3.0 %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85.1*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41.5*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43.9*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5.8 %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56.6%*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54.4%*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55.9%*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54.3%*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1.6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9.6%*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0.3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 of risk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1.59%*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1.6%*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1.54%*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0.06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1,155.1*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1,280*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1,320*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3.1 %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Customer deposits, EUR m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1,171.4*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1,301.1*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1,233.4*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1,320.0*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7.0 %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171.0*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155.7*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176.2*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13.2 %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ratio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14.13%*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13.03%*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13.15%*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0.12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capital ratio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18.81%*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17.31%*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18.38%*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1.07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Leverage ratio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10.71%*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9.75%*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10.83%*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1.08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135.74%*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135.3%*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133.03%*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2.27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NPL ratio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2.4%ᶜ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0.1 p. p.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(tool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calculated by the tool.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bank_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Loan and rental portfolio EUR 1.32bn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 Cost of risk 1.54%, normal for a consumer finance bank and, per management, within the target range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Green financing in Q2 EUR 28.4m (−23%); EUR 146m in 2025 (+65%)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Share of private loans &gt;90 days past due 2.4% (calculated by the tool)</w:t>
      </w:r>
      <w:hyperlink r:id="rId20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net profit EUR 19.2m, ROE 12.3%, cost/income 54.4%, cost of risk 1.59%</w:t>
      </w:r>
      <w:hyperlink r:id="rId17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Dividend for 2025 EUR 0.40 per share (EUR 4.8m)</w:t>
      </w:r>
      <w:hyperlink r:id="rId22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Expansion into Greece through a joint venture with Eurobank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Agreed July 2026; licensing under way, launch Q1 2027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plan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Keep impairments within the target range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Q2 cost of risk 1.54%, within the target range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Met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Instruments held:</w:t>
      </w:r>
      <w:r>
        <w:rPr>
          <w:b w:val="0"/>
        </w:rPr>
        <w:t xml:space="preserve"> a 5.5% subordinated bond due 2031-12-15 (EUR 15m) and a 7.5% perpetual AT1 (EUR 4.5m). Inbank may defer or cancel AT1 coupons at its discretion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 The 2031-12-28 date in the owner's list for the AT1 is not supported by the report: it is perpetual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Capital buffer:</w:t>
      </w:r>
      <w:r>
        <w:rPr>
          <w:b w:val="0"/>
        </w:rPr>
        <w:t xml:space="preserve"> total capital 18.38% versus a 14.66% requirement; CET1 13.15% (9.85%)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 No credit rating.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stable profit, capital and liquidity with headroom. For subordinated instruments the key is the capital buffer above requirements.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Pressure on margins:</w:t>
      </w:r>
      <w:r>
        <w:rPr>
          <w:b w:val="0"/>
        </w:rPr>
        <w:t xml:space="preserve"> portfolio yield 10.55% (11.24% a year ago) due to repricing of floating-rate loans and early repayments in Poland; funding cost fell to 3.64% (4.06%)</w:t>
      </w:r>
      <w:hyperlink r:id="rId24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Record volumes:</w:t>
      </w:r>
      <w:r>
        <w:rPr>
          <w:b w:val="0"/>
        </w:rPr>
        <w:t xml:space="preserve"> originations EUR 221m (+13%), net income EUR 22.0m (+6%); impairments 1.54%, within target as macro conditions remain stable</w:t>
      </w:r>
      <w:hyperlink r:id="rId24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Outlook:</w:t>
      </w:r>
      <w:r>
        <w:rPr>
          <w:b w:val="0"/>
        </w:rPr>
        <w:t xml:space="preserve"> management sees signs of improving margins; the Greek joint venture with Eurobank is expected to launch in Q1 2027, subject to approvals</w:t>
      </w:r>
      <w:hyperlink r:id="rId12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3.43%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Early redemption:</w:t>
      </w:r>
      <w:r>
        <w:rPr>
          <w:b w:val="0"/>
        </w:rPr>
        <w:t xml:space="preserve"> on 2026-09-28 Inbank published a notice of early redemption of bonds (with record and redemption dates); the headline does not name the issue</w:t>
      </w:r>
      <w:hyperlink r:id="rId25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Poland:</w:t>
      </w:r>
      <w:r>
        <w:rPr>
          <w:b w:val="0"/>
        </w:rPr>
        <w:t xml:space="preserve"> on 2026-09-30 Inbank published its position on a decision of the Polish consumer protection authority (UOKiK)</w:t>
      </w:r>
      <w:hyperlink r:id="rId26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EE), 2026-07-24 – 2026-10-22: 2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2026-09-30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B42318"/>
                <w:sz w:val="14"/>
                <w:shd w:val="clear" w:color="auto" w:fill="FDE7E5"/>
              </w:rPr>
              <w:t xml:space="preserve"> ATTENTION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6">
              <w:r>
                <w:rPr>
                  <w:color w:val="1B2430"/>
                  <w:sz w:val="18"/>
                </w:rPr>
                <w:t xml:space="preserve">Inbanki seisukoht UOKiK otsuse kohta Poolas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5FA8"/>
                <w:sz w:val="14"/>
                <w:shd w:val="clear" w:color="auto" w:fill="E6F0FB"/>
              </w:rPr>
              <w:t xml:space="preserve"> BONDS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5">
              <w:r>
                <w:rPr>
                  <w:color w:val="1B2430"/>
                  <w:sz w:val="18"/>
                </w:rPr>
                <w:t xml:space="preserve">Inbanki võlakirjade ennetähtaegse lunastamise (sh nimekirja fikseerimise päeva ja lunastamispäeva) teade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Consumer and purchase financing and car leasing: no activity in excluded sectors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Finantsinspektsioon precepts: in 2023 to Inbank AS to remedy governance, compliance and risk management deficiencies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 October 2025 to Inbank Finance to fix consumer creditworthiness rules by mid-December 2025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fines imposed.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apart from the supervisory precepts above and Inbank's 2026-09-30 statement on a decision of the Polish consumer protection authority (UOKiK)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2026-07-24 – 2026-10-22: 2 articles, 1 with an adverse keyword in the headline (details in the section "In the press").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Headlines with an adverse keyword: „Inbanki seisukoht UOKiK otsuse kohta Poolas“ (GlobeNewswire, 2026-09-30).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financing (solar, EVs and similar) EUR 146m in 2025, +65%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financing products contribute to the Paris goals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separate net-zero target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significant yellow flags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Supervisory precepts without fines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 and the Environmental and Social &amp; Human Rights policies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sectors, growing green financing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Climate targets and financed emissions not found publicly.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the bank is profitable with a capital buffer.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financing EUR 146m in 2025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EUR 28.4m in Q2 2026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Green financing is growing; there were supervisory precepts on governance and credit assessment (no fines).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Inbank - Interim report Q2 2026, p. 5, 9,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Inbank - Capital adequacy and risk disclosure Q2 2026, p. 2-3,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Inbank - Capital adequacy and risk disclosure Q2 2026, p. 3-4,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2">
        <w:r>
          <w:rPr>
            <w:color w:val="2A78D6"/>
            <w:sz w:val="17"/>
          </w:rPr>
          <w:t xml:space="preserve">Inbank - Interim report Q2 2026, p. 5, 26,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Inbank - Capital adequacy and risk disclosure Q2 2026, p. 4,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Inbank - Interim report Q2 2026, p. 8,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2">
        <w:r>
          <w:rPr>
            <w:color w:val="2A78D6"/>
            <w:sz w:val="17"/>
          </w:rPr>
          <w:t xml:space="preserve">Inbank - Interim report Q2 2026, p. 5,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7">
        <w:r>
          <w:rPr>
            <w:color w:val="2A78D6"/>
            <w:sz w:val="17"/>
          </w:rPr>
          <w:t xml:space="preserve">Inbank publishes audited annual report for 2025, p. -, 2026-03-05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Inbank - Interim report Q2 2026, p. 9,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Inbank - Investors (core financial figures), p. -,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4">
        <w:r>
          <w:rPr>
            <w:color w:val="2A78D6"/>
            <w:sz w:val="17"/>
          </w:rPr>
          <w:t xml:space="preserve">Inbank - Capital adequacy and risk disclosure Q2 2026, p. 3,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Inbank - Interim report Q2 2026, p. 20,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7">
        <w:r>
          <w:rPr>
            <w:color w:val="2A78D6"/>
            <w:sz w:val="17"/>
          </w:rPr>
          <w:t xml:space="preserve">Inbank publishes audited annual report for 2025, 2026-03-05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Inbank - Interim report Q2 2026, p. 11,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Inbank - Interim report Q2 2026, p. 26,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4">
        <w:r>
          <w:rPr>
            <w:color w:val="2A78D6"/>
            <w:sz w:val="17"/>
          </w:rPr>
          <w:t xml:space="preserve">Inbank - Interim report Q2 2026, p. 4, 2026-07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5">
        <w:r>
          <w:rPr>
            <w:color w:val="2A78D6"/>
            <w:sz w:val="17"/>
          </w:rPr>
          <w:t xml:space="preserve">GlobeNewswire – Inbanki võlakirjade ennetähtaegse lunastamise (sh nimekirja fikseerimise päeva ja lunastamispäeva) teade, 2026-09-28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GlobeNewswire – Inbanki seisukoht UOKiK otsuse kohta Poolas,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7">
        <w:r>
          <w:rPr>
            <w:color w:val="2A78D6"/>
            <w:sz w:val="17"/>
          </w:rPr>
          <w:t xml:space="preserve">Finantsinspektsioon issued a precept to Inbank AS, 2023-10-19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Finantsinspektsioon issued a precept to AS Inbank Finance, 2025-10-14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Inbank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Inbank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Inbank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b-cdn.inbank.eu/documents/ee/en/pdf/reports/Inbank_Interim_Report_2026_Q2.pdf#page=5" TargetMode="External"/><Relationship Id="rId13" Type="http://schemas.openxmlformats.org/officeDocument/2006/relationships/hyperlink" Target="https://ib-cdn.inbank.eu/documents/ee/en/pdf/Inbank_Risk_Disclosure_2026_Q2.pdf#page=2" TargetMode="External"/><Relationship Id="rId14" Type="http://schemas.openxmlformats.org/officeDocument/2006/relationships/hyperlink" Target="https://ib-cdn.inbank.eu/documents/ee/en/pdf/Inbank_Risk_Disclosure_2026_Q2.pdf#page=3" TargetMode="External"/><Relationship Id="rId15" Type="http://schemas.openxmlformats.org/officeDocument/2006/relationships/hyperlink" Target="https://ib-cdn.inbank.eu/documents/ee/en/pdf/Inbank_Risk_Disclosure_2026_Q2.pdf#page=4" TargetMode="External"/><Relationship Id="rId16" Type="http://schemas.openxmlformats.org/officeDocument/2006/relationships/hyperlink" Target="https://ib-cdn.inbank.eu/documents/ee/en/pdf/reports/Inbank_Interim_Report_2026_Q2.pdf#page=8" TargetMode="External"/><Relationship Id="rId17" Type="http://schemas.openxmlformats.org/officeDocument/2006/relationships/hyperlink" Target="https://inbank.eu/news/inbank-publishes-audited-annual-report-for-2025" TargetMode="External"/><Relationship Id="rId18" Type="http://schemas.openxmlformats.org/officeDocument/2006/relationships/hyperlink" Target="https://ib-cdn.inbank.eu/documents/ee/en/pdf/reports/Inbank_Interim_Report_2026_Q2.pdf#page=9" TargetMode="External"/><Relationship Id="rId19" Type="http://schemas.openxmlformats.org/officeDocument/2006/relationships/hyperlink" Target="https://inbank.eu/investors/" TargetMode="External"/><Relationship Id="rId20" Type="http://schemas.openxmlformats.org/officeDocument/2006/relationships/hyperlink" Target="https://ib-cdn.inbank.eu/documents/ee/en/pdf/reports/Inbank_Interim_Report_2026_Q2.pdf#page=20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ib-cdn.inbank.eu/documents/ee/en/pdf/reports/Inbank_Interim_Report_2026_Q2.pdf#page=11" TargetMode="External"/><Relationship Id="rId23" Type="http://schemas.openxmlformats.org/officeDocument/2006/relationships/hyperlink" Target="https://ib-cdn.inbank.eu/documents/ee/en/pdf/reports/Inbank_Interim_Report_2026_Q2.pdf#page=26" TargetMode="External"/><Relationship Id="rId24" Type="http://schemas.openxmlformats.org/officeDocument/2006/relationships/hyperlink" Target="https://ib-cdn.inbank.eu/documents/ee/en/pdf/reports/Inbank_Interim_Report_2026_Q2.pdf#page=4" TargetMode="External"/><Relationship Id="rId25" Type="http://schemas.openxmlformats.org/officeDocument/2006/relationships/hyperlink" Target="https://news.google.com/rss/articles/CBMinwJBVV95cUxQLWxsUzZPQ1dScUFIdGFQRFZkQy1RbkJjQmRJTHU3SnVrY3IxYzFBWVR1cnlCeW1PSTB2aEtWeGU4Mm5TWk9HcWZ0WDBUTmd1WDFzTG10TWJIOXJjZ1lyUmpORkNrbGFuXzFfT0ljN01sdUJnck5ER2VuTnVraFRRR29mblVmV1gxWmd1ck9ka2FUc25PWFdKRXhrYVBWRHNFQXJmeGtDV3dSZlByUGNZSUxETWlObTZackY3OUY2Vk9icmZ4djdZaDMxZ1U5c2lwNEZGWWlGdkFkVnFKSWNrSWdtT0NLRnhmb1Zvam5XSE9kVDJEQ0NjMVdyM2RjR0ljVzJqRnBEVW1pdFd1NDRoMmZobnc2bmVMcVRUMlhKTQ?oc=5" TargetMode="External"/><Relationship Id="rId26" Type="http://schemas.openxmlformats.org/officeDocument/2006/relationships/hyperlink" Target="https://news.google.com/rss/articles/CBMitgFBVV95cUxPNngtRHdrOHB3UF9SeW90LXBOd25zWXl5LW8xdU1scTRfQ1dsMUtLTTlORzBSTU43bGtVM1FlOVJxSjVfTzFWcXFvZFc5V3JPZmExVnlZSHQwa0dWN0FHZVU5Q0RpRXBBTmRIRkIwV1JNczBjdlpDWjN1UWlVZk5ncjM2STV1MXIzRHZVSDh0TGo1eGR3VU1aaHVPdEtqNDlYcG51aU96MENDNFR2UE9ybFE0bWVhQQ?oc=5" TargetMode="External"/><Relationship Id="rId27" Type="http://schemas.openxmlformats.org/officeDocument/2006/relationships/hyperlink" Target="https://fi.ee/en/news/finantsinspektsioon-issued-precept-inbank" TargetMode="External"/><Relationship Id="rId28" Type="http://schemas.openxmlformats.org/officeDocument/2006/relationships/hyperlink" Target="https://fi.ee/en/news/finantsinspektsioon-issued-precept-inbank-finance" TargetMode="External"/><Relationship Id="rId29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