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Akropolis Group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BB+ stable (affirmed 2025-12-15); Fitch BB+ stable (affirmed 2026-07-13)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Akropolis – prekybos centrų Lietuvoje ir Latvijoje valdytojas, S&amp;P ir Fitch BB+ (stabili)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Užimtumas 99,2 %, obligacijų kovenantų laikomasi su atsarga: svertas 46 % (riba 60 %), padengimas 3,3 karto (riba 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56,6 mln. EUR</w:t>
            </w:r>
          </w:p>
          <w:p>
            <w:r>
              <w:rPr>
                <w:color w:val="5F6B7A"/>
                <w:sz w:val="16"/>
              </w:rPr>
              <w:t>▲ 27,8 %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37,0 mln. EUR</w:t>
            </w:r>
          </w:p>
          <w:p>
            <w:r>
              <w:rPr>
                <w:color w:val="5F6B7A"/>
                <w:sz w:val="16"/>
              </w:rPr>
              <w:t>▲ 21,3 %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LTV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41,7 %</w:t>
            </w:r>
          </w:p>
          <w:p>
            <w:r>
              <w:rPr>
                <w:color w:val="5F6B7A"/>
                <w:sz w:val="16"/>
              </w:rPr>
              <w:t>▲ 4,7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/ palūkanos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3,3x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5,3x*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LTV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 / palūkanos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3,3x*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2026-06-30 skolos 691,7 mln. EUR, pinigai 107,1 mln. EUR; vidutinė skolos kaina 4,8 %, vidutinė trukmė 3,3 m.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Išpirktos 2025 m., išleidus 350 mln. EUR 6 % obligacijas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Paskirstyta visa suma (2026 m.)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Leidimas gautas, finansavimo sprendimas svarstomas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Sprendimas dar nepriimtas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27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29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Komercinis nekilnojamasis turtas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22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Visi 5 centrai turi BREEAM In-Use „Very Good“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ir ISO 45001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Žaliųjų finansų sistema su Sustainalytics nuomone</w:t>
      </w:r>
      <w:hyperlink r:id="rId30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350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obligacijų lėšos visos paskirstytos žaliems pastatams</w:t>
      </w:r>
      <w:hyperlink r:id="rId24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2025 m. pabaigoje valdyboje nebuvo nepriklausomų narių</w:t>
      </w:r>
      <w:hyperlink r:id="rId31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Nekilnojamojo turto politika</w:t>
      </w:r>
      <w:hyperlink r:id="rId32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Pastatų sertifikavimas, aplinkos vadybos sistema, pirmoji CSRD tvarumo ataskaita su ribotu užtikrinimu</w:t>
      </w:r>
      <w:hyperlink r:id="rId30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aukšti tvarumo standartai.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ESRS tvarumo ataskaita ir žaliųjų obligacijų lėšų paskirstymas</w:t>
      </w:r>
      <w:hyperlink r:id="rId25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Sertifikuoti žali pastatai ir žaliosios obligacijos.</w:t>
      </w:r>
    </w:p>
    <w:p>
      <w:r>
        <w:rPr>
          <w:i/>
          <w:color w:val="5F6B7A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3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4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5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4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0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1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2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0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Akropolis Group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1" Type="http://schemas.openxmlformats.org/officeDocument/2006/relationships/hyperlink" Target="https://akropolis.eu/view-file/751_Akropolis%20-%20review%202026%20H1.pdf#page=5" TargetMode="External"/><Relationship Id="rId12" Type="http://schemas.openxmlformats.org/officeDocument/2006/relationships/hyperlink" Target="https://akropolis.eu/view-file/751_Akropolis%20-%20review%202026%20H1.pdf#page=7" TargetMode="External"/><Relationship Id="rId13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4" Type="http://schemas.openxmlformats.org/officeDocument/2006/relationships/hyperlink" Target="https://akropolis.eu/view-file/751_Akropolis%20-%20review%202026%20H1.pdf#page=11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6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0" Type="http://schemas.openxmlformats.org/officeDocument/2006/relationships/hyperlink" Target="https://akropolis.eu/view-file/751_Akropolis%20-%20review%202026%20H1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3" Type="http://schemas.openxmlformats.org/officeDocument/2006/relationships/hyperlink" Target="https://akropolis.eu/view-file/751_Akropolis%20-%20review%202026%20H1.pdf#page=14" TargetMode="External"/><Relationship Id="rId24" Type="http://schemas.openxmlformats.org/officeDocument/2006/relationships/hyperlink" Target="https://akropolis.eu/view-file/751_Akropolis%20-%20review%202026%20H1.pdf#page=6" TargetMode="External"/><Relationship Id="rId25" Type="http://schemas.openxmlformats.org/officeDocument/2006/relationships/hyperlink" Target="https://akropolis.eu/view-file/739_AKROPOLIS%20GROUP,%20UAB%20Konsoliduotoji%20metin%C4%97%20vadovyb%C4%97s%20ataskaita%202025.pdf#page=6" TargetMode="External"/><Relationship Id="rId2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7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28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0" Type="http://schemas.openxmlformats.org/officeDocument/2006/relationships/hyperlink" Target="https://akropolis.eu/view-file/739_AKROPOLIS%20GROUP,%20UAB%20Konsoliduotoji%20metin%C4%97%20vadovyb%C4%97s%20ataskaita%202025.pdf#page=4" TargetMode="External"/><Relationship Id="rId31" Type="http://schemas.openxmlformats.org/officeDocument/2006/relationships/hyperlink" Target="https://akropolis.eu/view-file/739_AKROPOLIS%20GROUP,%20UAB%20Konsoliduotoji%20metin%C4%97%20vadovyb%C4%97s%20ataskaita%202025.pdf#page=25" TargetMode="External"/><Relationship Id="rId3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