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Coop Pank</w:t>
      </w:r>
    </w:p>
    <w:p>
      <w:r>
        <w:rPr>
          <w:color w:val="5F6B7A"/>
          <w:sz w:val="24"/>
        </w:rPr>
        <w:t>Issuer review · 9M2026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Baa1 long-term deposit rating, outlook stable; BCA baa3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Unaudited Q4 2026 and annual results - 2027-02-18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25.6m (+19%, calculated by the tool), CET1 14.75%, total capital 19.86%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To watch: on 2026-10-21 the Estonian FSA ordered improvements to governance, internal control and risk management (no fine)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25.6 EUR m</w:t>
            </w:r>
          </w:p>
          <w:p>
            <w:r>
              <w:rPr>
                <w:color w:val="5F6B7A"/>
                <w:sz w:val="16"/>
              </w:rPr>
              <w:t>▲ 19.1 %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14.75%</w:t>
            </w:r>
          </w:p>
          <w:p>
            <w:r>
              <w:rPr>
                <w:color w:val="5F6B7A"/>
                <w:sz w:val="16"/>
              </w:rPr>
              <w:t>▲ 0.6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19.86%</w:t>
            </w:r>
          </w:p>
          <w:p>
            <w:r>
              <w:rPr>
                <w:color w:val="5F6B7A"/>
                <w:sz w:val="16"/>
              </w:rPr>
              <w:t>▲ 1.32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213.29%</w:t>
            </w:r>
          </w:p>
          <w:p>
            <w:r>
              <w:rPr>
                <w:color w:val="5F6B7A"/>
                <w:sz w:val="16"/>
              </w:rPr>
              <w:t>▲ 27.84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7.88%*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An Estonian bank whose strategic shareholder is Coop Eesti; Coop Investeeringud 22%, Coop cooperatives 19%, Andres Sonn 8%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profit EUR 28.7m (32.2m), ROE 12.9% (16.2%), cost/income 52.3% (49.6%)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profit EUR 25.6m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target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Q3 ROE 14.6%, cost/income 52.5%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near target, costs still too high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commitment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1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Retail and SME banking in Estonia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Found: on 2026-10-21 the FSA ordered improvements to governance, internal control and risk management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fine, the bank agrees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Finances solar and wind projects (81.3 MW)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 ESG policy is approved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sustainability report is published (2025)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flag: a supervisory precept on governance and internal control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regulated EU bank with an ESG policy and a sustainability report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are not disclosed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precept is supervised by the FSA.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energy financing is reported (81.3 MW, about 3.8% of the corporate portfolio)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Yellow flag – a supervisory precept on governance.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1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8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9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Coop Pank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oppank.ee/en/investor" TargetMode="External"/><Relationship Id="rId11" Type="http://schemas.openxmlformats.org/officeDocument/2006/relationships/hyperlink" Target="https://res30f.cooppank.ee/image/upload/investor_lehed/aruandlus/ENG/2026/Interim_report_9m_2026_EN.pdf#page=5" TargetMode="External"/><Relationship Id="rId12" Type="http://schemas.openxmlformats.org/officeDocument/2006/relationships/hyperlink" Target="https://view.news.eu.nasdaq.com/view?id=b2038756d5f89f1731d5413c841d20571&amp;lang=en&amp;src=listed" TargetMode="External"/><Relationship Id="rId13" Type="http://schemas.openxmlformats.org/officeDocument/2006/relationships/hyperlink" Target="https://res30f.cooppank.ee/image/upload/investor_lehed/aruandlus/ENG/2026/Interim_report_9m_2026_EN.pdf#page=6" TargetMode="External"/><Relationship Id="rId14" Type="http://schemas.openxmlformats.org/officeDocument/2006/relationships/hyperlink" Target="https://www.cooppank.ee/en/investor/reporting" TargetMode="External"/><Relationship Id="rId15" Type="http://schemas.openxmlformats.org/officeDocument/2006/relationships/hyperlink" Target="https://res30f.cooppank.ee/image/upload/investor_lehed/aruandlus/ENG/2026/Interim_report_9m_2026_EN.pdf#page=9" TargetMode="External"/><Relationship Id="rId16" Type="http://schemas.openxmlformats.org/officeDocument/2006/relationships/hyperlink" Target="https://res30f.cooppank.ee/image/upload/investor_lehed/aruandlus/ENG/2026/Interim_report_9m_2026_EN.pdf#page=10" TargetMode="External"/><Relationship Id="rId17" Type="http://schemas.openxmlformats.org/officeDocument/2006/relationships/hyperlink" Target="https://view.news.eu.nasdaq.com/view?id=b4b85a453f265185186c742780376177c&amp;lang=en&amp;src=listed" TargetMode="External"/><Relationship Id="rId18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19" Type="http://schemas.openxmlformats.org/officeDocument/2006/relationships/hyperlink" Target="https://res30f.cooppank.ee/image/upload/investor_lehed/aruandlus/ENG/2026/Interim_report_9m_2026_EN.pdf#page=7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res30f.cooppank.ee/image/upload/investor_lehed/aruandlus/ENG/2026/Interim_report_9m_2026_EN.pdf#page=23" TargetMode="External"/><Relationship Id="rId22" Type="http://schemas.openxmlformats.org/officeDocument/2006/relationships/hyperlink" Target="https://res30f.cooppank.ee/image/upload/investor_lehed/aruandlus/ENG/2026/Interim_report_9m_2026_EN.pdf#page=4" TargetMode="External"/><Relationship Id="rId23" Type="http://schemas.openxmlformats.org/officeDocument/2006/relationships/hyperlink" Target="https://www.cooppank.ee/en/investor/management/targets-and-strategy" TargetMode="External"/><Relationship Id="rId24" Type="http://schemas.openxmlformats.org/officeDocument/2006/relationships/hyperlink" Target="https://www.cooppank.ee/en/investor/bonds/subordinated-bonds" TargetMode="External"/><Relationship Id="rId25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