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Eesti Energia (Enefit)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Baa3 stable (2026-04-08); Fitch BBB- stable (2025-07-22); the hybrid is not rated separately in the documents read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expected late October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Eesti Energia – 100 % valstybės įmonė su investiciniu reitingu (Moody's Baa3, Fitch BBB-)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Bet svertas didelis: grynoji skola / EBITDA 4,1 karto (prieš metus 3,6), 2025 m. nuostolis 82,6 mln. EUR dėl nuvertėjimų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317,2 mln. EUR</w:t>
            </w:r>
          </w:p>
          <w:p>
            <w:r>
              <w:rPr>
                <w:color w:val="5F6B7A"/>
                <w:sz w:val="16"/>
              </w:rPr>
              <w:t>▼ 20,3 % vs FY2024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4,1x</w:t>
            </w:r>
          </w:p>
          <w:p>
            <w:r>
              <w:rPr>
                <w:color w:val="5F6B7A"/>
                <w:sz w:val="16"/>
              </w:rPr>
              <w:t>▲ 0,5x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1 224 mln. EUR</w:t>
            </w:r>
          </w:p>
          <w:p>
            <w:r>
              <w:rPr>
                <w:color w:val="5F6B7A"/>
                <w:sz w:val="16"/>
              </w:rPr>
              <w:t>▲ 10,0 %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Nuosavas kapitalas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2 045 mln. EUR</w:t>
            </w:r>
          </w:p>
          <w:p>
            <w:r>
              <w:rPr>
                <w:color w:val="5F6B7A"/>
                <w:sz w:val="16"/>
              </w:rPr>
              <w:t>▼ 12,3 %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apskaičiuota įrankio); 872 MW vėjo ir 172 MW saulės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4,1x*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Pagaminta elektros, GWh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2026-04 paleista nauja Enefit 280-2 skalūnų alyvos gamykla; nuo birželio Elektrilevi tarifas +3,4 %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Nuosavas kapitalas 2026-06-30 – 2 045 mln. EUR; turto 4 901 mln. EUR; nuosavo kapitalo dalis apie 42 % (apskaičiuota įrankio)</w:t>
      </w:r>
      <w:hyperlink r:id="rId1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Skola 2026-06-30 – 1 666 mln. EUR; 2026-05-28 išleista 300 mln. EUR 4,6 % žalioji obligacija (2031)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Konkreti data naujoje strategijoje nenurodyta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Faktinės emisijos ataskaitose nerastos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Laukiama duomenų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Atsinaujinanti gamyba 2025 m. – 62 % (apskaičiuota įrankio)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Dalis gamybos vis dar iš skalūnų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pStyle w:val="ListBullet"/>
        <w:spacing w:after="60"/>
      </w:pP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azartinių lošimų veiklos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Skalūnų kasyba, skalūnų alyva ir skalūnų elektra – SEB politikoje netradicinė nafta ir dujos turi Baltijos šalių išimtį iki 2030 m.</w:t>
      </w:r>
      <w:hyperlink r:id="rId27">
        <w:r>
          <w:rPr>
            <w:color w:val="2A78D6"/>
            <w:vertAlign w:val="superscript"/>
            <w:sz w:val="16"/>
          </w:rPr>
          <w:t xml:space="preserve">21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skalūnų elektros atsisakymą numato 2030–2035 m.</w:t>
      </w:r>
      <w:hyperlink r:id="rId10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ISS 2024 m. ginčų nenustatė</w:t>
      </w:r>
      <w:hyperlink r:id="rId28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Rasta: 2025-05-07 prokuratūra pradėjo baudžiamąją bylą dėl specialaus audito išvadų (galima žala Enefit Power)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Įtarimų niekam nepareikšta.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Aplinkosaugos tarnyba Enefit Power skyrė 190 000 EUR ir 110 000 EUR baudas už oro taršos ribų viršijimą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Sparti vėjo ir saulės plėtra (872 MW vėjo, 172 MW saulės), žaliojo finansavimo sistema su ISS nuomone</w:t>
      </w:r>
      <w:hyperlink r:id="rId30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Tikslai: CO2 neutrali elektra iki 2045 m., Net Zero 2050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Geltonas signalas: baudžiamoji byla dėl audito ir aplinkosaugos baudos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ESG kredito poveikis CIS-4, aplinkosauga E-4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Iškastinio kuro</w:t>
      </w:r>
      <w:hyperlink r:id="rId27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 xml:space="preserve"> ir elektros bei atsinaujinančios energijos</w:t>
      </w:r>
      <w:hyperlink r:id="rId33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 xml:space="preserve"> politikos.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Perėjimo planas (Strategija 2030+), emisijų tikslai</w:t>
      </w:r>
      <w:hyperlink r:id="rId15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Aiški skalūnų atsisakymo data.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☑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Verta: skalūnų atsisakymo data, nes SEB Baltijos išimtis netradicinei naftai baigiasi 2030 m.</w:t>
      </w:r>
      <w:hyperlink r:id="rId27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atsinaujinanti ir neatsinaujinanti gamyba, emisijų limitai</w:t>
      </w:r>
      <w:hyperlink r:id="rId12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Raudonų signalų nėra, bet skalūnų veikla patenka į SEB Baltijos išimtį tik iki 2030 m.; geltonas signalas – audito byla ir baudos.</w:t>
      </w:r>
    </w:p>
    <w:p>
      <w:r>
        <w:rPr>
          <w:i/>
          <w:color w:val="5F6B7A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0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3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2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7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3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Eesti Energia (Enefit)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ublic-docs.enefit.com/ettevottest/investorile/EE-credit-opinion-update-2026-04-13.pdf#page=1" TargetMode="External"/><Relationship Id="rId11" Type="http://schemas.openxmlformats.org/officeDocument/2006/relationships/hyperlink" Target="https://public-docs.enefit.com/ettevottest/investorile/Fitch-rating.pdf#page=1" TargetMode="External"/><Relationship Id="rId12" Type="http://schemas.openxmlformats.org/officeDocument/2006/relationships/hyperlink" Target="https://public-docs.enefit.com/ettevottest/investorile/2026/Q2-2026-aruanne_EST_final.pdf#page=5" TargetMode="External"/><Relationship Id="rId13" Type="http://schemas.openxmlformats.org/officeDocument/2006/relationships/hyperlink" Target="https://public-docs.enefit.com/ettevottest/investorile/2025/EE-aruanne-2025-EN_FINAL.pdf#page=8" TargetMode="External"/><Relationship Id="rId14" Type="http://schemas.openxmlformats.org/officeDocument/2006/relationships/hyperlink" Target="https://www.enefit.com/en/investorile" TargetMode="External"/><Relationship Id="rId15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6" Type="http://schemas.openxmlformats.org/officeDocument/2006/relationships/hyperlink" Target="https://public-docs.enefit.com/ettevottest/investorile/2026/Q2-2026-aruanne_EST_final.pdf#page=30" TargetMode="External"/><Relationship Id="rId17" Type="http://schemas.openxmlformats.org/officeDocument/2006/relationships/hyperlink" Target="https://public-docs.enefit.com/ettevottest/investorile/2026/Q2-2026-aruanne_EST_final.pdf#page=32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public-docs.enefit.com/ettevottest/investorile/2026/Q2-2026-aruanne_EST_final.pdf#page=3" TargetMode="External"/><Relationship Id="rId20" Type="http://schemas.openxmlformats.org/officeDocument/2006/relationships/hyperlink" Target="https://public-docs.enefit.com/ettevottest/investorile/2026/Q2-2026-aruanne_EST_final.pdf#page=10" TargetMode="External"/><Relationship Id="rId21" Type="http://schemas.openxmlformats.org/officeDocument/2006/relationships/hyperlink" Target="https://public-docs.enefit.com/ettevottest/investorile/EE-credit-opinion-update-2026-04-13.pdf#page=3" TargetMode="External"/><Relationship Id="rId22" Type="http://schemas.openxmlformats.org/officeDocument/2006/relationships/hyperlink" Target="https://public-docs.enefit.ee/ettevottest/investorile/SPO.pdf#page=19" TargetMode="External"/><Relationship Id="rId23" Type="http://schemas.openxmlformats.org/officeDocument/2006/relationships/hyperlink" Target="https://public-docs.enefit.ee/ettevottest/investorile/SPO.pdf#page=18" TargetMode="External"/><Relationship Id="rId24" Type="http://schemas.openxmlformats.org/officeDocument/2006/relationships/hyperlink" Target="https://public-docs.enefit.com/ettevottest/investorile/Fitch-rating.pdf#page=4" TargetMode="External"/><Relationship Id="rId25" Type="http://schemas.openxmlformats.org/officeDocument/2006/relationships/hyperlink" Target="https://public-docs.enefit.com/ettevottest/investorile/EE-credit-opinion-update-2026-04-13.pdf#page=11" TargetMode="External"/><Relationship Id="rId26" Type="http://schemas.openxmlformats.org/officeDocument/2006/relationships/hyperlink" Target="https://public-docs.enefit.com/ettevottest/investorile/EE-credit-opinion-update-2026-04-13.pdf#page=8" TargetMode="External"/><Relationship Id="rId27" Type="http://schemas.openxmlformats.org/officeDocument/2006/relationships/hyperlink" Target="https://webapp.sebgroup.com/mb/mblib.nsf/dld/80AF6A2E5F88CDC2C12586B1002E33C2?opendocument" TargetMode="External"/><Relationship Id="rId28" Type="http://schemas.openxmlformats.org/officeDocument/2006/relationships/hyperlink" Target="https://public-docs.enefit.ee/ettevottest/investorile/SPO.pdf#page=21" TargetMode="External"/><Relationship Id="rId29" Type="http://schemas.openxmlformats.org/officeDocument/2006/relationships/hyperlink" Target="https://www.err.ee/1609686014/prokuratuur-algatas-eesti-energia-erikontrolli-tottu-kriminaalmenetluse" TargetMode="External"/><Relationship Id="rId30" Type="http://schemas.openxmlformats.org/officeDocument/2006/relationships/hyperlink" Target="https://public-docs.enefit.com/ettevottest/investorile/2025/EE-aruanne-2025-EN_FINAL.pdf#page=18" TargetMode="External"/><Relationship Id="rId31" Type="http://schemas.openxmlformats.org/officeDocument/2006/relationships/hyperlink" Target="https://public-docs.enefit.ee/ettevottest/investorile/SPO.pdf" TargetMode="External"/><Relationship Id="rId32" Type="http://schemas.openxmlformats.org/officeDocument/2006/relationships/hyperlink" Target="https://public-docs.enefit.com/ettevottest/investorile/EE-credit-opinion-update-2026-04-13.pdf#page=5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