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Credit quality is stable: BBB+ / Baa1 ratings and leverage of 3.49x, inside the 3-4x target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is weaker, but the 2026 guidance was kept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The held bond XS1646530565 is subject to the issuer's tender offer of 2026-10-19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306.6 EUR m</w:t>
            </w:r>
          </w:p>
          <w:p>
            <w:r>
              <w:rPr>
                <w:color w:val="5F6B7A"/>
                <w:sz w:val="16"/>
              </w:rPr>
              <w:t>▲ 1.9 %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115.8 EUR m</w:t>
            </w:r>
          </w:p>
          <w:p>
            <w:r>
              <w:rPr>
                <w:color w:val="5F6B7A"/>
                <w:sz w:val="16"/>
              </w:rPr>
              <w:t>▼ 20.8 %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1,925.3 EUR m</w:t>
            </w:r>
          </w:p>
          <w:p>
            <w:r>
              <w:rPr>
                <w:color w:val="5F6B7A"/>
                <w:sz w:val="16"/>
              </w:rPr>
              <w:t>▲ 19.6 %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3.49x</w:t>
            </w:r>
          </w:p>
          <w:p>
            <w:r>
              <w:rPr>
                <w:color w:val="5F6B7A"/>
                <w:sz w:val="16"/>
              </w:rPr>
              <w:t>▲ 0.5x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The 2026 guidance of EUR 550-600m was kept, and about half of it is already reached (51-56%)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Free cash flow,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1,609.9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19.6 %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2.99x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3.49x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22.2%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7.6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6.7%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2,436.8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2,492.0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5,706.0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5,897.3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7.5 %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0.683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Installed green capacity,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20.0 %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3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declined due to weaker wind in Q1-Q2 and a lower hedge price (EUR 130 → 82/MWh)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32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3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6M revenue EUR 1,497.5m (+15.4%), EBITDA EUR 303.5m (262.5m), net profit EUR 113.2m (111.4m)</w:t>
      </w:r>
      <w:hyperlink r:id="rId18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EUR 251.4m (+11.3%), free cash flow EUR 5.3m (64.0m); investments EUR 306.1m (343.2m, −10.8%)</w:t>
      </w:r>
      <w:hyperlink r:id="rId2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306.6m; guidance reiterated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306.1m (44-52% of the range)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YE2025: 21.0%; 30 Jun 2026 (LTM): 22.2%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3.49x; S&amp;P BBB+, Moody's Baa1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EUR 1.366 (+3.0%); H1 2026: EUR 0.704 (+3.1%)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2.1 GW installed, 0.7 GW under construction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Progressing: 2.1 GW installed + 0.7 GW under construction = 2.8 GW, the bottom of the target range (calculated by the tool)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30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weapons, tobacco or gambling.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 generation and no oil &amp; gas exploration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Owns the gas-fired Elektrėnai complex (reserve capacity) and supplies gas - not restricted by the SEB fossil fuel policy (restricts coal &gt;5% of revenue and new exploration).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red flags (UNGC / OECD breaches) found in public sources and the news scan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Ignitis states it upholds the UN Global Compact principles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in the automatic news scan (Lithuanian, Latvian, Estonian and English media, last 30 days, 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Core activities are green generation (2.1 GW installed, 0.6 GW under construction) and power networks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bonds and a new EU Green Bond Standard (EuGB) bond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 Taxonomy-aligned capex 84.7% in 2025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SBTi-validated targets in line with 1.5°C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Net zero by 2050 or sooner</w:t>
      </w:r>
      <w:hyperlink r:id="rId36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333333"/>
          <w:sz w:val="19"/>
        </w:rPr>
        <w:t>No material yellow flag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related controversies found.</w:t>
      </w:r>
    </w:p>
    <w:p>
      <w:pPr>
        <w:spacing w:after="0"/>
        <w:ind w:left="397"/>
      </w:pPr>
      <w:r>
        <w:rPr>
          <w:b/>
          <w:color w:val="333333"/>
          <w:sz w:val="19"/>
        </w:rPr>
        <w:t>To note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contractor employee was fatally injured in February 2026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 emissions rose 54.7% in 2025 due to higher gas generation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Safety is managed under ISO 45001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Investments policy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, the Electricity &amp; Renewable Energy policy, since green generation and networks make up more than 15% of revenue</w:t>
      </w:r>
      <w:hyperlink r:id="rId3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, and the Fossil Fuels policy for gas distribution, gas supply and the Elektrėnai reserve plants.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gas revenue share was not found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Requirements 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1-3 emissions disclosed (4.49m t CO2e in 2025) and SBTi-validated 1.5°C targets</w:t>
      </w:r>
      <w:hyperlink r:id="rId42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environmental management at ESO, Ignitis gamyba, Ignitis and the Vilnius and Kaunas CHPs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coal, peat or oil &amp; gas extraction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Expectations 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45001 safety management, no fatal accidents in 2025</w:t>
      </w:r>
      <w:hyperlink r:id="rId43">
        <w:r>
          <w:rPr>
            <w:color w:val="2A78D6"/>
            <w:vertAlign w:val="superscript"/>
            <w:sz w:val="16"/>
          </w:rPr>
          <w:t xml:space="preserve">39</w:t>
        </w:r>
      </w:hyperlink>
      <w:r>
        <w:rPr>
          <w:color w:val="2A78D6"/>
          <w:vertAlign w:val="superscript"/>
        </w:rPr>
        <w:t>,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Trust line for anonymous reports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Anti-corruption policy and ISO 37001 certification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UN Global Compact</w:t>
      </w:r>
      <w:hyperlink r:id="rId42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Integrated annual report with climate data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Biodiversity monitoring and mitigation measures</w:t>
      </w:r>
      <w:hyperlink r:id="rId45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named human rights due diligence process or quantified biodiversity targets are published</w:t>
      </w:r>
      <w:hyperlink r:id="rId39">
        <w:r>
          <w:rPr>
            <w:color w:val="2A78D6"/>
            <w:vertAlign w:val="superscript"/>
            <w:sz w:val="16"/>
          </w:rPr>
          <w:t xml:space="preserve">43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company meets SEB policy expectations and has no red flags.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Total GHG emissions 4.49m t CO2e in 2025 (+10.1%)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Carbon intensity (Scope 1+2) 214 g CO2e/kWh in Q1 2026 (−12.8%)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Taxonomy-aligned capex 84.7%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SBTi-validated 1.5°C targets</w:t>
      </w:r>
      <w:hyperlink r:id="rId46">
        <w:r>
          <w:rPr>
            <w:color w:val="2A78D6"/>
            <w:vertAlign w:val="superscript"/>
            <w:sz w:val="16"/>
          </w:rPr>
          <w:t xml:space="preserve">44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Strong green profile: 84.7% Taxonomy-aligned capex and SBTi-validated targets. Worth watching: higher gas generation in 2025 and contractor safety.</w:t>
      </w:r>
    </w:p>
    <w:p>
      <w:r>
        <w:rPr>
          <w:i/>
          <w:color w:val="5F6B7A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5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6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30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31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32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3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8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5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6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7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40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41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42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43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44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2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5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43.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44. </w:t>
      </w:r>
      <w:hyperlink r:id="rId46">
        <w:r>
          <w:rPr>
            <w:color w:val="2A78D6"/>
            <w:sz w:val="17"/>
          </w:rPr>
          <w:t xml:space="preserve">Integrated Annual Report 2025, p. 9, 2026-02-25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10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en/investors/bonds" TargetMode="External"/><Relationship Id="rId15" Type="http://schemas.openxmlformats.org/officeDocument/2006/relationships/hyperlink" Target="https://ignitisgrupe.lt/sites/default/files/public/inline-files/First%20six%20months%202026%20interim%20report.pdf#page=24" TargetMode="External"/><Relationship Id="rId16" Type="http://schemas.openxmlformats.org/officeDocument/2006/relationships/hyperlink" Target="https://ignitisgrupe.lt/sites/default/files/public/inline-files/Ignitis%20Group%20Strategic%20Plan%202026%202029.pdf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6" TargetMode="External"/><Relationship Id="rId24" Type="http://schemas.openxmlformats.org/officeDocument/2006/relationships/hyperlink" Target="https://ignitisgrupe.lt/sites/default/files/public/inline-files/First%20six%20months%202026%20interim%20report.pdf#page=32" TargetMode="External"/><Relationship Id="rId25" Type="http://schemas.openxmlformats.org/officeDocument/2006/relationships/hyperlink" Target="https://ignitisgrupe.lt/sites/default/files/public/inline-files/First%20six%20months%202026%20interim%20report.pdf#page=33" TargetMode="External"/><Relationship Id="rId26" Type="http://schemas.openxmlformats.org/officeDocument/2006/relationships/hyperlink" Target="https://ignitisgrupe.lt/sites/default/files/public/inline-files/Integrated%20Annual%20Report%202025.pdf" TargetMode="External"/><Relationship Id="rId27" Type="http://schemas.openxmlformats.org/officeDocument/2006/relationships/hyperlink" Target="https://ignitisgrupe.lt/sites/default/files/public/inline-files/Integrated%20Annual%20Report%202025.pdf#page=11" TargetMode="External"/><Relationship Id="rId28" Type="http://schemas.openxmlformats.org/officeDocument/2006/relationships/hyperlink" Target="https://ignitisgrupe.lt/sites/default/files/public/inline-files/First%20six%20months%202026%20interim%20report.pdf#page=37" TargetMode="External"/><Relationship Id="rId29" Type="http://schemas.openxmlformats.org/officeDocument/2006/relationships/image" Target="media/image1.png"/><Relationship Id="rId30" Type="http://schemas.openxmlformats.org/officeDocument/2006/relationships/hyperlink" Target="https://ignitisgrupe.lt/sites/default/files/public/inline-files/First%20six%20months%202026%20interim%20report.pdf#page=5" TargetMode="External"/><Relationship Id="rId31" Type="http://schemas.openxmlformats.org/officeDocument/2006/relationships/hyperlink" Target="https://ignitisgrupe.lt/sites/default/files/public/inline-files/Transcript.%20Investor%20presentation_6M%202026%20results.pdf" TargetMode="External"/><Relationship Id="rId32" Type="http://schemas.openxmlformats.org/officeDocument/2006/relationships/hyperlink" Target="https://ignitisgrupe.lt/sites/default/files/public/inline-files/First%20six%20months%202026%20interim%20report.pdf#page=6" TargetMode="External"/><Relationship Id="rId33" Type="http://schemas.openxmlformats.org/officeDocument/2006/relationships/hyperlink" Target="https://data.fca.org.uk/artefacts/NSM/GNW/b8cfd694-6694-4d57-bf10-2bb5ed7ce1a4.html" TargetMode="External"/><Relationship Id="rId34" Type="http://schemas.openxmlformats.org/officeDocument/2006/relationships/hyperlink" Target="https://ignitisgrupe.lt/sites/default/files/public/inline-files/Integrated%20Annual%20Report%202025.pdf#page=27" TargetMode="External"/><Relationship Id="rId35" Type="http://schemas.openxmlformats.org/officeDocument/2006/relationships/hyperlink" Target="https://ignitisgrupe.lt/sites/default/files/public/inline-files/First%20six%20months%202026%20interim%20report.pdf#page=17" TargetMode="External"/><Relationship Id="rId36" Type="http://schemas.openxmlformats.org/officeDocument/2006/relationships/hyperlink" Target="https://ignitisgrupe.lt/sites/default/files/public/inline-files/Integrated%20Annual%20Report%202025.pdf#page=10" TargetMode="External"/><Relationship Id="rId37" Type="http://schemas.openxmlformats.org/officeDocument/2006/relationships/hyperlink" Target="https://ignitisgrupe.lt/tvarumo-valdymas/politikos-ir-sertifikatai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webapp.sebgroup.com/mb/mblib.nsf/dld/60D2454400789893C12587D70030AFC1?opendocument" TargetMode="External"/><Relationship Id="rId40" Type="http://schemas.openxmlformats.org/officeDocument/2006/relationships/hyperlink" Target="https://ignitisgrupe.lt/sites/default/files/public/inline-files/Integrated%20Annual%20Report%202025.pdf#page=24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ignitisgrupe.lt/sites/default/files/public/inline-files/Integrated%20Annual%20Report%202025.pdf#page=8" TargetMode="External"/><Relationship Id="rId43" Type="http://schemas.openxmlformats.org/officeDocument/2006/relationships/hyperlink" Target="https://ignitisgrupe.lt/sites/default/files/public/inline-files/Integrated%20Annual%20Report%202025.pdf#page=16" TargetMode="External"/><Relationship Id="rId44" Type="http://schemas.openxmlformats.org/officeDocument/2006/relationships/hyperlink" Target="https://ignitisgrupe.lt/tvarumo-prioritetai/verslo-etika" TargetMode="External"/><Relationship Id="rId45" Type="http://schemas.openxmlformats.org/officeDocument/2006/relationships/hyperlink" Target="https://ignitisgrupe.lt/tvarumo-prioritetai/gamta" TargetMode="External"/><Relationship Id="rId46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