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LATRAPS</w:t>
      </w:r>
    </w:p>
    <w:p>
      <w:r>
        <w:rPr>
          <w:color w:val="5F6B7A"/>
          <w:sz w:val="24"/>
        </w:rPr>
        <w:t>Emitento apžvalga · FY2026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Audited annual report FY2025/26 - expected November 2026 (FY2024/25 report was signed 2025-11-24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sz w:val="19"/>
        </w:rPr>
        <w:t>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Stebėtina: skola auga dėl 132 mln. EUR žirnių baltymų gamyklos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240,2 mln. EUR</w:t>
            </w:r>
          </w:p>
          <w:p>
            <w:r>
              <w:rPr>
                <w:color w:val="5F6B7A"/>
                <w:sz w:val="16"/>
              </w:rPr>
              <w:t>▼ 5,5 %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2,77 mln. EUR</w:t>
            </w:r>
          </w:p>
          <w:p>
            <w:r>
              <w:rPr>
                <w:color w:val="5F6B7A"/>
                <w:sz w:val="16"/>
              </w:rPr>
              <w:t>▲ 1,1 %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29,4 %</w:t>
            </w:r>
          </w:p>
          <w:p>
            <w:r>
              <w:rPr>
                <w:color w:val="5F6B7A"/>
                <w:sz w:val="16"/>
              </w:rPr>
              <w:t>▼ 3,4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palūkanos (FY2026)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2,7x</w:t>
            </w:r>
          </w:p>
          <w:p>
            <w:r>
              <w:rPr>
                <w:color w:val="5F6B7A"/>
                <w:sz w:val="16"/>
              </w:rPr>
              <w:t>• 0x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auga:</w:t>
      </w:r>
      <w:r>
        <w:rPr>
          <w:b w:val="0"/>
        </w:rPr>
        <w:t xml:space="preserve"> grynoji skola apie 62,4 mln. EUR (prieš metus 45,1 mln.; apskaičiuota įrankio), turtas 142,0 mln. EUR (121,4 mln.)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2026-09 baigtos 4,2 mln. EUR investicijos į Jaunpagasto, Aizkrauklės ir Jēkabpilio sandėlius (ES lėšos); parduota Alpha Osta dalis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Bendrasis pelnas 16,9 mln. EUR (17,6 mln.), palūkanų sąnaudos 2,86 mln. EUR (2,71 mln.)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2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EBITDA atskirai neskelbiama; skelbiamas tik kovenanto rodiklis EBITDA / palūkanos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Statoma; terminas nepakeistas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Baigta 2026-09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Pardavimas užbaigtas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pStyle w:val="ListBullet"/>
        <w:spacing w:after="60"/>
      </w:pP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Grūdų ir rapsų prekyba bei perdirbimas 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žemės ūkio politikos apribotos veiklos (miškų kirtimas, nesertifikuotas palmių aliejus ar soja) nenustatytos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Baudų, pažeidimų ar skundų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Korupcijos nuosprendžių nėra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Žirnių baltymų gamykla – augalinių baltymų gamyba iš vietinių žaliavų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Tikslai: atsinaujinančios energijos +50 % per penkerius metus, 10 elektromobilių per metus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nurodo, kad oficialaus klimato rizikos vertinimo dar neatliko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Žemės ūkio politika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Pirmoji tvarumo ataskaita pagal ESRS / VSME, pranešimų apie pažeidimus kanalas, nulinės nelaimingų atsitikimų darbe tikslas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rizikos vertinimas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tvarumo ataskaita pradėta skelbti, rimtų trūkumų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Skelbiamos 1 apimties CO2 emisijos ir darbuotojų skaičius (trejų metų duomenys)</w:t>
      </w:r>
      <w:hyperlink r:id="rId39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Pirmoji tvarumo ataskaita paskelbta; klimato rizikos vertinimas dar neatliktas.</w:t>
      </w:r>
    </w:p>
    <w:p>
      <w:r>
        <w:rPr>
          <w:i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6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7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8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9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8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9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LATRAPS · FY2026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latra/2025_ar_en_las.pdf#page=10" TargetMode="External"/><Relationship Id="rId11" Type="http://schemas.openxmlformats.org/officeDocument/2006/relationships/hyperlink" Target="https://nasdaqbaltic.com/market/upload/reports/latra/2026_q4_en_las.pdf#page=12" TargetMode="External"/><Relationship Id="rId12" Type="http://schemas.openxmlformats.org/officeDocument/2006/relationships/hyperlink" Target="https://nasdaqbaltic.com/market/upload/reports/latra/2026_esg_en.pdf#page=6" TargetMode="External"/><Relationship Id="rId13" Type="http://schemas.openxmlformats.org/officeDocument/2006/relationships/hyperlink" Target="https://nasdaqbaltic.com/market/upload/reports/latra/2026_q4_en_las.pdf#page=7" TargetMode="External"/><Relationship Id="rId14" Type="http://schemas.openxmlformats.org/officeDocument/2006/relationships/hyperlink" Target="https://nasdaqbaltic.com/market/upload/reports/latra/2026_q2_en_las.pdf#page=12" TargetMode="External"/><Relationship Id="rId15" Type="http://schemas.openxmlformats.org/officeDocument/2006/relationships/hyperlink" Target="https://nasdaqbaltic.com/market/upload/reports/latra/2026_q4_en_las.pdf#page=4" TargetMode="External"/><Relationship Id="rId16" Type="http://schemas.openxmlformats.org/officeDocument/2006/relationships/hyperlink" Target="https://nasdaqbaltic.com/market/upload/reports/latra/2026_q4_en_las.pdf#page=20" TargetMode="External"/><Relationship Id="rId17" Type="http://schemas.openxmlformats.org/officeDocument/2006/relationships/hyperlink" Target="https://nasdaqbaltic.com/market/upload/reports/latra/2026_q4_en_las.pdf#page=13" TargetMode="External"/><Relationship Id="rId18" Type="http://schemas.openxmlformats.org/officeDocument/2006/relationships/hyperlink" Target="https://nasdaqbaltic.com/market/upload/reports/latra/2025_ar_en_las.pdf#page=11" TargetMode="External"/><Relationship Id="rId19" Type="http://schemas.openxmlformats.org/officeDocument/2006/relationships/hyperlink" Target="https://nasdaqbaltic.com/market/upload/reports/latra/2026_q2_en_las.pdf#page=13" TargetMode="External"/><Relationship Id="rId20" Type="http://schemas.openxmlformats.org/officeDocument/2006/relationships/hyperlink" Target="https://nasdaqbaltic.com/market/upload/reports/latra/2025_ar_en_las.pdf#page=12" TargetMode="External"/><Relationship Id="rId21" Type="http://schemas.openxmlformats.org/officeDocument/2006/relationships/hyperlink" Target="https://nasdaqbaltic.com/market/upload/reports/latra/2026_q2_en_las.pdf#page=14" TargetMode="External"/><Relationship Id="rId22" Type="http://schemas.openxmlformats.org/officeDocument/2006/relationships/hyperlink" Target="https://nasdaqbaltic.com/market/upload/reports/latra/2026_q4_en_las.pdf#page=14" TargetMode="External"/><Relationship Id="rId23" Type="http://schemas.openxmlformats.org/officeDocument/2006/relationships/hyperlink" Target="https://nasdaqbaltic.com/market/upload/reports/latra/2026_q2_en_las.pdf#page=20" TargetMode="External"/><Relationship Id="rId24" Type="http://schemas.openxmlformats.org/officeDocument/2006/relationships/hyperlink" Target="https://nasdaqbaltic.com/market/upload/reports/latra/2025_ar_en_las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nasdaqbaltic.com/market/upload/reports/latra/2026_q4_en_las.pdf#page=1" TargetMode="External"/><Relationship Id="rId27" Type="http://schemas.openxmlformats.org/officeDocument/2006/relationships/hyperlink" Target="https://nasdaqbaltic.com/market/upload/reports/latra/2026_q2_en_las.pdf#page=8" TargetMode="External"/><Relationship Id="rId28" Type="http://schemas.openxmlformats.org/officeDocument/2006/relationships/hyperlink" Target="https://nasdaqbaltic.com/market/upload/reports/latra/2026_q4_en_las.pdf#page=2" TargetMode="External"/><Relationship Id="rId29" Type="http://schemas.openxmlformats.org/officeDocument/2006/relationships/hyperlink" Target="https://nasdaqbaltic.com/market/upload/reports/latra/2025_ar_en_las.pdf#page=8" TargetMode="External"/><Relationship Id="rId30" Type="http://schemas.openxmlformats.org/officeDocument/2006/relationships/hyperlink" Target="https://nasdaqbaltic.com/statistics/en/instrument/LV0000805349/security?date=2026-10-22" TargetMode="External"/><Relationship Id="rId31" Type="http://schemas.openxmlformats.org/officeDocument/2006/relationships/hyperlink" Target="https://nasdaqbaltic.com/market/upload/reports/latra/2026_q4_en_las.pdf#page=19" TargetMode="External"/><Relationship Id="rId32" Type="http://schemas.openxmlformats.org/officeDocument/2006/relationships/hyperlink" Target="https://nasdaqbaltic.com/market/upload/reports/latra/2026_q4_en_las.pdf#page=18" TargetMode="External"/><Relationship Id="rId33" Type="http://schemas.openxmlformats.org/officeDocument/2006/relationships/hyperlink" Target="https://nasdaqbaltic.com/market/upload/reports/latra/2026_q4_en_las.pdf#page=5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nasdaqbaltic.com/market/upload/reports/latra/2026_esg_en.pdf#page=23" TargetMode="External"/><Relationship Id="rId36" Type="http://schemas.openxmlformats.org/officeDocument/2006/relationships/hyperlink" Target="https://nasdaqbaltic.com/market/upload/reports/latra/2026_esg_en.pdf#page=19" TargetMode="External"/><Relationship Id="rId37" Type="http://schemas.openxmlformats.org/officeDocument/2006/relationships/hyperlink" Target="https://nasdaqbaltic.com/market/upload/reports/latra/2026_esg_en.pdf#page=18" TargetMode="External"/><Relationship Id="rId38" Type="http://schemas.openxmlformats.org/officeDocument/2006/relationships/hyperlink" Target="https://nasdaqbaltic.com/market/upload/reports/latra/2026_esg_en.pdf#page=3" TargetMode="External"/><Relationship Id="rId39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