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LHV Group</w:t>
      </w:r>
    </w:p>
    <w:p>
      <w:r>
        <w:rPr>
          <w:color w:val="5F6B7A"/>
          <w:sz w:val="24"/>
        </w:rPr>
        <w:t>Issuer review · 9M2026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Moody's: LHV Group senior unsecured Baa2 (positive outlook); LHV Pank deposits A3 (positive), updated 2025-09-01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October 2026 monthly results - 2026-11-17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Q3 profit was a record EUR 37.5m (EUR 26.3m a year ago), and the bank says it will meet its financial plan targets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capital buffer has narrowed: total capital is 20.25% against an internal target of 20.0%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This matters most for the Tier 2 and AT1 bonds held.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81.91 EUR m</w:t>
            </w:r>
          </w:p>
          <w:p>
            <w:r>
              <w:rPr>
                <w:color w:val="5F6B7A"/>
                <w:sz w:val="16"/>
              </w:rPr>
              <w:t>▼ 5.0 %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14.0%</w:t>
            </w:r>
          </w:p>
          <w:p>
            <w:r>
              <w:rPr>
                <w:color w:val="5F6B7A"/>
                <w:sz w:val="16"/>
              </w:rPr>
              <w:t>▼ 2.1 p. p.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15.28%</w:t>
            </w:r>
          </w:p>
          <w:p>
            <w:r>
              <w:rPr>
                <w:color w:val="5F6B7A"/>
                <w:sz w:val="16"/>
              </w:rPr>
              <w:t>▼ 1.76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20.25%</w:t>
            </w:r>
          </w:p>
          <w:p>
            <w:r>
              <w:rPr>
                <w:color w:val="5F6B7A"/>
                <w:sz w:val="16"/>
              </w:rPr>
              <w:t>▼ 3.05 p. p. vs 9M2025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Loans growing:</w:t>
      </w:r>
      <w:r>
        <w:rPr>
          <w:b w:val="0"/>
        </w:rPr>
        <w:t xml:space="preserve"> loans to customers EUR 5,951m (+8.9% since YE2025; calculated by the tool), deposits EUR 7,735m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57.0%*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14.0%*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Nine-month net interest income EUR 190.6m (+8.8%), total income EUR 232.7m (+3.0%; changes calculated by the tool). Q3 net interest margin 2.80% (2.36% a year ago)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Nine-month cost/income 57.0% (51.7% a year ago). EUR 8.9m of provisions were released in Q3, so loan losses had no negative impact</w:t>
      </w:r>
      <w:hyperlink r:id="rId1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Stage 3 (non-performing) loans EUR 72.4m, about 1.2% of loans (calculated by the tool)</w:t>
      </w:r>
      <w:hyperlink r:id="rId2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Missed: profitability 6.5% below plan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Long-term target; 2026 progress in line with plan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target announced in the 2025 annual report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For 2025: EUR 0.09 per share; 2026 plan: EUR 0.08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Paid in line with the policy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28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pStyle w:val="ListBullet"/>
        <w:spacing w:after="60"/>
      </w:pP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29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publishes a list of activities that go against its credit policy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credit policy rules out lending to customers with clear evidence of human rights violations or serious environmental harm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 (quick search,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only supervisory penalty is a EUR 0.4m ECB fine over risk-weighted asset calculation</w:t>
      </w:r>
      <w:hyperlink r:id="rId25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about LHV found (search in Estonian and English,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main case has LHV as the claimant: in July 2025 the bank notified the Financial Intelligence Unit of its intent to claim a EUR 247.5m contractual penalty, because the unit accessed LHV client account statements 1,289 times without legal basis</w:t>
      </w:r>
      <w:hyperlink r:id="rId33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397"/>
      </w:pPr>
      <w:r>
        <w:rPr>
          <w:b/>
          <w:color w:val="333333"/>
          <w:sz w:val="19"/>
        </w:rPr>
        <w:t>Sustainable products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Energy-efficient home loans, EV leasing, apartment renovation and energy project loans, the EIF sustainable loan programme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Targets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 least 50% of new mortgages for A and B energy class housing, 100% renewable electricity by 2030</w:t>
      </w:r>
      <w:hyperlink r:id="rId34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financing of new diesel passenger cars from 2030</w:t>
      </w:r>
      <w:hyperlink r:id="rId35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Aims to contribute to the Paris Agreement goals and the transition to a climate-neutral economy by 2050</w:t>
      </w:r>
      <w:hyperlink r:id="rId32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asset ratio 4.86%</w:t>
      </w:r>
      <w:hyperlink r:id="rId36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7">
        <w:r>
          <w:rPr>
            <w:color w:val="2A78D6"/>
            <w:vertAlign w:val="superscript"/>
            <w:sz w:val="16"/>
          </w:rPr>
          <w:t xml:space="preserve">38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Activity exclusion list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and environmental criteria in the credit policy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risk assessment</w:t>
      </w:r>
      <w:hyperlink r:id="rId38">
        <w:r>
          <w:rPr>
            <w:color w:val="2A78D6"/>
            <w:vertAlign w:val="superscript"/>
            <w:sz w:val="16"/>
          </w:rPr>
          <w:t xml:space="preserve">39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targets</w:t>
      </w:r>
      <w:hyperlink r:id="rId34">
        <w:r>
          <w:rPr>
            <w:color w:val="2A78D6"/>
            <w:vertAlign w:val="superscript"/>
            <w:sz w:val="16"/>
          </w:rPr>
          <w:t xml:space="preserve">34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policy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(PCAF) are not disclosed as figures</w:t>
      </w:r>
      <w:hyperlink r:id="rId39">
        <w:r>
          <w:rPr>
            <w:color w:val="2A78D6"/>
            <w:vertAlign w:val="superscript"/>
            <w:sz w:val="16"/>
          </w:rPr>
          <w:t xml:space="preserve">40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bank is profitable, liquidity and MREL have headroom and ESG practice is in order.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 Scope 1 emissions 0 t CO2e, Scope 3 573,454 t CO2e in 2025</w:t>
      </w:r>
      <w:hyperlink r:id="rId40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asset ratio 4.86%</w:t>
      </w:r>
      <w:hyperlink r:id="rId36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Group management and supervisory boards 30%</w:t>
      </w:r>
      <w:hyperlink r:id="rId41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Sustainable products and clear climate targets; financed emissions are not yet disclosed as figures.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3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4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7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5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12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7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7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7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18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18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28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29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0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1">
        <w:r>
          <w:rPr>
            <w:color w:val="2A78D6"/>
            <w:sz w:val="17"/>
          </w:rPr>
          <w:t xml:space="preserve">LHV - ESG,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2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3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4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5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2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6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38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39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0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1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LHV Group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.lhv.ee/en/credit-rating" TargetMode="External"/><Relationship Id="rId11" Type="http://schemas.openxmlformats.org/officeDocument/2006/relationships/hyperlink" Target="https://www.lhv.ee/assets/files/investor/LHV_Group_Interim_Report_2026-Q3_EN.pdf" TargetMode="External"/><Relationship Id="rId12" Type="http://schemas.openxmlformats.org/officeDocument/2006/relationships/hyperlink" Target="https://www.lhv.ee/assets/files/investor/LHV_Group_Interim_Report_2026-Q3_EN.pdf#page=4" TargetMode="External"/><Relationship Id="rId13" Type="http://schemas.openxmlformats.org/officeDocument/2006/relationships/hyperlink" Target="https://www.lhv.ee/assets/files/investor/LHV_Group_Interim_Report_2026-Q3_EN.pdf#page=10" TargetMode="External"/><Relationship Id="rId14" Type="http://schemas.openxmlformats.org/officeDocument/2006/relationships/hyperlink" Target="https://www.lhv.ee/assets/files/investor/LHV_Group_Interim_Report_2026-Q3_EN.pdf#page=6" TargetMode="External"/><Relationship Id="rId15" Type="http://schemas.openxmlformats.org/officeDocument/2006/relationships/hyperlink" Target="https://investor.lhv.ee/en/financial-forecasts" TargetMode="External"/><Relationship Id="rId16" Type="http://schemas.openxmlformats.org/officeDocument/2006/relationships/hyperlink" Target="https://www.lhv.ee/assets/files/investor/LHV_Group_Annual_Report_2025-EN.pdf#page=14" TargetMode="External"/><Relationship Id="rId17" Type="http://schemas.openxmlformats.org/officeDocument/2006/relationships/hyperlink" Target="https://www.lhv.ee/assets/files/investor/LHV_Group_Annual_Report_2025-EN.pdf#page=8" TargetMode="External"/><Relationship Id="rId18" Type="http://schemas.openxmlformats.org/officeDocument/2006/relationships/hyperlink" Target="https://www.lhv.ee/assets/files/investor/LHV_Group_Annual_Report_2025-EN.pdf#page=15" TargetMode="External"/><Relationship Id="rId19" Type="http://schemas.openxmlformats.org/officeDocument/2006/relationships/hyperlink" Target="https://www.lhv.ee/assets/files/investor/LHV_Group_Interim_Report_2026-Q3_EN.pdf#page=19" TargetMode="External"/><Relationship Id="rId20" Type="http://schemas.openxmlformats.org/officeDocument/2006/relationships/hyperlink" Target="https://www.lhv.ee/assets/files/investor/LHV_Group_Interim_Report_2026-Q3_EN.pdf#page=11" TargetMode="External"/><Relationship Id="rId21" Type="http://schemas.openxmlformats.org/officeDocument/2006/relationships/hyperlink" Target="https://www.lhv.ee/assets/files/investor/LHV_Group_Interim_Report_2026-Q3_EN.pdf#page=2" TargetMode="External"/><Relationship Id="rId22" Type="http://schemas.openxmlformats.org/officeDocument/2006/relationships/hyperlink" Target="https://www.lhv.ee/assets/files/investor/LHV_Group_Interim_Report_2026-Q3_EN.pdf#page=12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lhv.ee/assets/files/investor/LHV_Group_Interim_Report_2026-Q3_EN.pdf#page=15" TargetMode="External"/><Relationship Id="rId25" Type="http://schemas.openxmlformats.org/officeDocument/2006/relationships/hyperlink" Target="https://www.lhv.ee/assets/files/investor/LHV_Group_Annual_Report_2025-EN.pdf#page=13" TargetMode="External"/><Relationship Id="rId26" Type="http://schemas.openxmlformats.org/officeDocument/2006/relationships/hyperlink" Target="https://www.lhv.ee/assets/files/investor/LHV_Group_Interim_Report_2026-Q3_EN.pdf#page=20" TargetMode="External"/><Relationship Id="rId27" Type="http://schemas.openxmlformats.org/officeDocument/2006/relationships/hyperlink" Target="https://www.lhv.ee/assets/files/investor/LHV_Group_Annual_Report_2025-EN.pdf#page=7" TargetMode="External"/><Relationship Id="rId28" Type="http://schemas.openxmlformats.org/officeDocument/2006/relationships/hyperlink" Target="https://www.lhv.ee/assets/files/investor/LHV_Group_Annual_Report_2025-EN.pdf#page=17" TargetMode="External"/><Relationship Id="rId29" Type="http://schemas.openxmlformats.org/officeDocument/2006/relationships/hyperlink" Target="https://investor.lhv.ee/en/senior-bonds" TargetMode="External"/><Relationship Id="rId30" Type="http://schemas.openxmlformats.org/officeDocument/2006/relationships/hyperlink" Target="https://investor.lhv.ee/en/subordinated-bonds" TargetMode="External"/><Relationship Id="rId31" Type="http://schemas.openxmlformats.org/officeDocument/2006/relationships/hyperlink" Target="https://www.lhv.ee/en/esg" TargetMode="External"/><Relationship Id="rId32" Type="http://schemas.openxmlformats.org/officeDocument/2006/relationships/hyperlink" Target="https://www.lhv.ee/assets/files/LHV_Group_Annual_Sustainability_Report_2025-EN.pdf#page=80" TargetMode="External"/><Relationship Id="rId33" Type="http://schemas.openxmlformats.org/officeDocument/2006/relationships/hyperlink" Target="https://www.err.ee/1609754001/lhv-nouab-rahapesu-andmeburoolt-pangasaladuse-asjas-247-miljonit" TargetMode="External"/><Relationship Id="rId34" Type="http://schemas.openxmlformats.org/officeDocument/2006/relationships/hyperlink" Target="https://www.lhv.ee/assets/files/LHV_Group_Annual_Sustainability_Report_2025-EN.pdf#page=97" TargetMode="External"/><Relationship Id="rId35" Type="http://schemas.openxmlformats.org/officeDocument/2006/relationships/hyperlink" Target="https://www.lhv.ee/assets/files/LHV_Group_Annual_Sustainability_Report_2025-EN.pdf#page=81" TargetMode="External"/><Relationship Id="rId36" Type="http://schemas.openxmlformats.org/officeDocument/2006/relationships/hyperlink" Target="https://www.lhv.ee/assets/files/LHV_Group_Annual_Sustainability_Report_2025-EN.pdf#page=95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www.lhv.ee/assets/files/LHV_Group_Annual_Sustainability_Report_2025-EN.pdf#page=90" TargetMode="External"/><Relationship Id="rId39" Type="http://schemas.openxmlformats.org/officeDocument/2006/relationships/hyperlink" Target="https://www.lhv.ee/assets/files/LHV_Group_Annual_Sustainability_Report_2025-EN.pdf#page=88" TargetMode="External"/><Relationship Id="rId40" Type="http://schemas.openxmlformats.org/officeDocument/2006/relationships/hyperlink" Target="https://www.lhv.ee/assets/files/LHV_Group_Annual_Sustainability_Report_2025-EN.pdf#page=98" TargetMode="External"/><Relationship Id="rId41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