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Emitento apžvalga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Altum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Latvija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TVARKINGA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Pagrindinė informacija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Emitento reitingas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 Baa1 long-term issuer rating, P-2 short-term, outlook stable (affirmed 2025-01-28)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9M 2026 interim report - 2026-11-26 to 2026-11-30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Šalis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Latvija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Turimi vertybiniai popieriai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Altum 3,576% 5Y bond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LV0000104669  ·  3,576 % · 2030-05-30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Pozicija tvarkinga.</w:t>
            </w:r>
            <w:r>
              <w:rPr>
                <w:b w:val="0"/>
                <w:color w:val="1B2430"/>
                <w:sz w:val="21"/>
              </w:rPr>
              <w:t xml:space="preserve"> Altum – 100 % valstybinė Latvijos plėtros finansų institucija su Moody's Baa1 reitingu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B2430"/>
                <w:sz w:val="21"/>
              </w:rPr>
              <w:t>. I pusm. pelnas 10,1 mln. EUR (+15 %), nuosavo kapitalo dalis apie 25 % (mūsų skaičiavimas), 180 dienų likvidumo rodiklis 227 %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Grynasis pelnas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10,13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15,0 %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ROE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4,6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0,4 p. p.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Nuosavas kapitalas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455,8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7,7 %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Nuosavo kapitalo dalis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25,4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0,5 p. p. vs 6M2025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Pelnas auga:</w:t>
      </w:r>
      <w:r>
        <w:rPr>
          <w:b w:val="0"/>
        </w:rPr>
        <w:t xml:space="preserve"> I pusm. pelnas 10,1 mln. EUR (8,8 mln.), ROE 4,6 % (4,2 %); grynosios palūkanų pajamos 10,1 mln. EUR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Sparčiai auga paramos portfelis:</w:t>
      </w:r>
      <w:r>
        <w:rPr>
          <w:b w:val="0"/>
        </w:rPr>
        <w:t xml:space="preserve"> paskolos 707,1 mln. EUR (+32 % per metus), garantijos 737,7 mln. EUR; visas portfelis 1 704,8 mln. EUR (+26 %; pokyčiai – mūsų skaičiavimas)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Rizika padengta:</w:t>
      </w:r>
      <w:r>
        <w:rPr>
          <w:b w:val="0"/>
        </w:rPr>
        <w:t xml:space="preserve"> rizikos padengimas 392,7 mln. EUR; TCE / TMA 18,5 %; likvidumas 180 dienų – 227 % (prieš metus 387 %)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Naujos programos:</w:t>
      </w:r>
      <w:r>
        <w:rPr>
          <w:b w:val="0"/>
        </w:rPr>
        <w:t xml:space="preserve"> planuojamas 100 mln. EUR fondas „Augimui ir gynybai“, 50 mln. EUR NIB finansavimas, 0 % garantijų mokestis tvariems MVĮ projektams</w:t>
      </w:r>
      <w:hyperlink r:id="rId14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Priemonė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Kuponas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Išpirkimas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Emisijos reitingas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Pastaba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LV0000104669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Altum 3,576% 5Y bond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3,576 %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2030-05-30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unsecured; Moody's Baa1 issuer rating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254"/>
        <w:gridCol w:w="1314"/>
        <w:gridCol w:w="1314"/>
        <w:gridCol w:w="1314"/>
        <w:gridCol w:w="2441"/>
      </w:tblGrid>
      <w:tr>
        <w:tc>
          <w:tcPr>
            <w:tcW w:type="dxa" w:w="325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Rodiklis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6M2025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32,08*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8,81*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10,13*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15,0 %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Grynosios palūkanų pajamos, mln. EUR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20,03*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9,79*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10,06*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2,8 %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Sąnaudų ir pajamų santykis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18,8 %*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39,4 %*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31,4 %*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8 p. p.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7,4 %*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4,2 %*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4,6 %*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0,4 p. p.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Paskolos klientams, mln. EUR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621,2*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535,9*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707,1*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31,9 %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Turtas, mln. EUR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1 730,0*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1 703,2*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1 791,9*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5,2 %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Nuosavas kapitalas, mln. EUR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445,7*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423,3*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455,8*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7,7 %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Nuosavo kapitalo dalis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25,8 %ᶜ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24,9 %ᶜ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25,4 %ᶜ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0,5 p. p. vs 6M2025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Spalvos: žalias pokytis – rodiklis gerėja, raudonas – blogėja. Paskutinio laikotarpio langelio fonas: žalias – geras lygis, geltonas – vidutinis, raudonas – silpnas (vidiniai orientyrai,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paimta iš ataskaitos santraukos;  ᶜ – mūsų skaičiavimas.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um_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Altum įgyvendina valstybės paramos ir plėtros programas:</w:t>
      </w:r>
      <w:r>
        <w:rPr>
          <w:b w:val="0"/>
        </w:rPr>
        <w:t xml:space="preserve"> paskolos, garantijos, rizikos kapitalo fondai, Latvijos žemės fondas, IPO fondas</w:t>
      </w:r>
      <w:hyperlink r:id="rId16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Nuo 2026 m. taikomas nulinės tolerancijos režimas Rusijos rezidentams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pelnas 32,1 mln. EUR, ROE 7,4 %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 Nuosavas kapitalas 455,8 mln. EUR, turtas 1 791,9 mln. EUR, finansinė skola 955,7 mln. EUR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Altum netaikomi bankų kapitalo pakankamumo reikalavimai</w:t>
      </w:r>
      <w:hyperlink r:id="rId17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Planas / tikslas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Rezultatas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Kas pasikeitė ir kodėl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Strategija 2025–2027: teigiama kapitalo grąža; geresnė prieiga prie finansavimo (klimatas, būstas, rizikos kapitalas)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6M 2026 ROE 4,6 %; portfelis +26 %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Vykdoma: grąža teigiama, portfelis auga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100 mln. EUR fondas „Augimui ir gynybai“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Planuojamas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Naujas planas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Turima priemonė:</w:t>
      </w:r>
      <w:r>
        <w:rPr>
          <w:b w:val="0"/>
        </w:rPr>
        <w:t xml:space="preserve"> 3,576 % obligacija, 70 mln. EUR, išpirkimas 2030-05-30 (Nasdaq Riga)</w:t>
      </w:r>
      <w:hyperlink r:id="rId19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 0,443 % obligacija LV0000870095 išpirkta 2026-10-08 ir nebeturima.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Kredito kokybė:</w:t>
      </w:r>
      <w:r>
        <w:rPr>
          <w:b w:val="0"/>
        </w:rPr>
        <w:t xml:space="preserve"> valstybės nuosavybė ir Moody's Baa1; skolinimasis finansuoja valstybės programas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maža rizika, rodikliai stabilūs.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Rinka ir aplinka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Valstybės paramos paklausa:</w:t>
      </w:r>
      <w:r>
        <w:rPr>
          <w:b w:val="0"/>
        </w:rPr>
        <w:t xml:space="preserve"> paskolų portfelis +86 mln. EUR (+14 %), daugiausia daugiabučių energinio efektyvumo ir investicinės paskolos</w:t>
      </w:r>
      <w:hyperlink r:id="rId20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b w:val="0"/>
        </w:rPr>
        <w:t>; nauji sandoriai 346 mln. EUR (+35 %), daugiausia garantijos</w:t>
      </w:r>
      <w:hyperlink r:id="rId21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Aplinka:</w:t>
      </w:r>
      <w:r>
        <w:rPr>
          <w:b w:val="0"/>
        </w:rPr>
        <w:t xml:space="preserve"> nepaisant geopolitinio neapibrėžtumo verslo aktyvumas išlieka stiprus (statyba, prekyba, gamyba, atsinaujinanti energetika)</w:t>
      </w:r>
      <w:hyperlink r:id="rId21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; nuo 2026 m. Rusijos rezidentams parama visiškai draudžiama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Perspektyva:</w:t>
      </w:r>
      <w:r>
        <w:rPr>
          <w:b w:val="0"/>
        </w:rPr>
        <w:t xml:space="preserve"> tęsiamos ir pradedamos naujos valstybės programos, planuojamas 100 mln. EUR fondas „Augimui ir gynybai“</w:t>
      </w:r>
      <w:hyperlink r:id="rId18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Dabar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3 mėn.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12 mėn.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 per 12 mėn.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indėlių palūkanų norma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2,50 %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2,25 %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2,64 %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2,34 %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2,03 %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2,92 %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3,25 %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2,17 %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1,08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AAA vyriausybių 10 m. pajamingumas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3,37 %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3,23 %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2,72 %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0,65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infliacija (SVKI, metinė)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1,90 %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0,50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zonos palūkanos ir infliacija (ECB duomenys, mėnesio pabaigos reikšmė; Euribor ir infliacija – mėnesio vidurkis). Svarbu kintamų palūkanų ir perkainojamoms (reset) obligacijoms bei refinansavimo kaštams.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Ką rašo spauda</w:t>
      </w:r>
    </w:p>
    <w:p>
      <w:pPr>
        <w:spacing w:before="40" w:after="60"/>
      </w:pPr>
      <w:r>
        <w:rPr>
          <w:b w:val="0"/>
          <w:color w:val="667085"/>
          <w:sz w:val="18"/>
        </w:rPr>
        <w:t>Automatinė naujienų paieška (Google News, LV), 2026-08-02 – 2026-10-31: 2 pranešimų.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2">
              <w:r>
                <w:rPr>
                  <w:color w:val="1B2430"/>
                  <w:sz w:val="18"/>
                </w:rPr>
                <w:t xml:space="preserve">Alūksnes putnu ferma piesaista 33 miljonus eiro no Swedbank un ALTUM</w:t>
              </w:r>
            </w:hyperlink>
            <w:r>
              <w:rPr>
                <w:b w:val="0"/>
                <w:color w:val="667085"/>
                <w:sz w:val="15"/>
              </w:rPr>
              <w:t xml:space="preserve">   Dienas Bizness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3">
              <w:r>
                <w:rPr>
                  <w:color w:val="1B2430"/>
                  <w:sz w:val="18"/>
                </w:rPr>
                <w:t xml:space="preserve">Lauku uzņēmējiem pieejama jauna "Altum" finansējuma programma</w:t>
              </w:r>
            </w:hyperlink>
            <w:r>
              <w:rPr>
                <w:b w:val="0"/>
                <w:color w:val="667085"/>
                <w:sz w:val="15"/>
              </w:rPr>
              <w:t xml:space="preserve">   Lasi.lv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Valstybės plėtros finansavimas – veiklos išskirtuose sektoriuose nėra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Ginčų pagal JT Pasaulinį susitarimą ar EBPO gaires nerasta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Bendradarbiavimas su Rusijos ir Baltarusijos subjektais ribojamas</w:t>
            </w:r>
            <w:hyperlink r:id="rId14">
              <w:r>
                <w:rPr>
                  <w:color w:val="2A78D6"/>
                  <w:vertAlign w:val="superscript"/>
                  <w:sz w:val="15"/>
                </w:rPr>
                <w:t xml:space="preserve">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US OFAC konsoliduotuose sankcijų sąrašuose (automatinė patikra 2026-10-31).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Rankinė patikra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sankcijų paieška</w:t>
            </w:r>
            <w:hyperlink r:id="rId24">
              <w:r>
                <w:rPr>
                  <w:color w:val="2A78D6"/>
                  <w:vertAlign w:val="superscript"/>
                  <w:sz w:val="15"/>
                </w:rPr>
                <w:t xml:space="preserve">13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 sankcijų žemėlapis</w:t>
            </w:r>
            <w:hyperlink r:id="rId25">
              <w:r>
                <w:rPr>
                  <w:color w:val="2A78D6"/>
                  <w:vertAlign w:val="superscript"/>
                  <w:sz w:val="15"/>
                </w:rPr>
                <w:t xml:space="preserve">14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(vidinė SEB sistema).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Neigiamų naujienų nerasta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2026-08-02 – 2026-10-31: 2 pranešimų, iš jų su neigiamu žodžiu antraštėje – 0 (plačiau – skiltyje „Ką rašo spauda“).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Perėjimo finansavimo produktai MVĮ ir žemės ūkiui, EIB Green Checker tvarioms paskoloms (palūkanų nuolaida), 0 % garantijų mokestis tvariems projektams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Tikslas – mažinti finansuojamo portfelio CO2 emisijas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Geltonų signalų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Investicijų politika bei aplinkosaugos ir socialinė / žmogaus teisių politikos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Valstybės kontroliuojama plėtros institucija, tvarumo kriterijai finansavime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15</w:t>
              </w:r>
            </w:hyperlink>
            <w:r>
              <w:rPr>
                <w:b w:val="0"/>
                <w:color w:val="333333"/>
                <w:sz w:val="18"/>
              </w:rPr>
              <w:t>, sankcijų rizikos valdymas</w:t>
            </w:r>
            <w:hyperlink r:id="rId14">
              <w:r>
                <w:rPr>
                  <w:color w:val="2A78D6"/>
                  <w:vertAlign w:val="superscript"/>
                  <w:sz w:val="15"/>
                </w:rPr>
                <w:t xml:space="preserve">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Nereikia: valstybės institucija su aiškiu mandatu.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Tvarių paskolų vertinimas EIB Green Checker priemone ir portfelio emisijų mažinimo tikslas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 Valstybės plėtros institucija, skatinanti tvarų finansavimą.</w:t>
      </w:r>
    </w:p>
    <w:p>
      <w:pPr>
        <w:spacing w:before="40" w:after="60"/>
      </w:pPr>
      <w:r>
        <w:rPr>
          <w:b w:val="0"/>
          <w:color w:val="667085"/>
          <w:sz w:val="16"/>
        </w:rPr>
        <w:t>Taikytos SEB politikos: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Altum - Interim report 6M 2026 (unaudited), p. 3, 13,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Nasdaq Baltic - Altum reports list, 2026-10-19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Altum - Interim report 6M 2026 (unaudited), p. 13,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2">
        <w:r>
          <w:rPr>
            <w:color w:val="2A78D6"/>
            <w:sz w:val="17"/>
          </w:rPr>
          <w:t xml:space="preserve">Altum - Interim report 6M 2026 (unaudited), p. 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4">
        <w:r>
          <w:rPr>
            <w:color w:val="2A78D6"/>
            <w:sz w:val="17"/>
          </w:rPr>
          <w:t xml:space="preserve">Altum - Interim report 6M 2026 (unaudited), p. 13-15,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6">
        <w:r>
          <w:rPr>
            <w:color w:val="2A78D6"/>
            <w:sz w:val="17"/>
          </w:rPr>
          <w:t xml:space="preserve">Altum - Interim report 6M 2026 (unaudited), p. 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7">
        <w:r>
          <w:rPr>
            <w:color w:val="2A78D6"/>
            <w:sz w:val="17"/>
          </w:rPr>
          <w:t xml:space="preserve">Altum - Interim report 6M 2026 (unaudited), p. 22,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6">
        <w:r>
          <w:rPr>
            <w:color w:val="2A78D6"/>
            <w:sz w:val="17"/>
          </w:rPr>
          <w:t xml:space="preserve">Altum - Interim report 6M 2026 (unaudited), p. 2-3,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8">
        <w:r>
          <w:rPr>
            <w:color w:val="2A78D6"/>
            <w:sz w:val="17"/>
          </w:rPr>
          <w:t xml:space="preserve">Altum - Interim report 6M 2026 (unaudited), p. 15,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9">
        <w:r>
          <w:rPr>
            <w:color w:val="2A78D6"/>
            <w:sz w:val="17"/>
          </w:rPr>
          <w:t xml:space="preserve">Nasdaq Baltic - Altum 3.576% bond LV0000104669,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0">
        <w:r>
          <w:rPr>
            <w:color w:val="2A78D6"/>
            <w:sz w:val="17"/>
          </w:rPr>
          <w:t xml:space="preserve">Altum - Interim report 6M 2026 (unaudited), p. 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1">
        <w:r>
          <w:rPr>
            <w:color w:val="2A78D6"/>
            <w:sz w:val="17"/>
          </w:rPr>
          <w:t xml:space="preserve">Altum - Interim report 6M 2026 (unaudited), p. 6,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4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5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6">
        <w:r>
          <w:rPr>
            <w:color w:val="2A78D6"/>
            <w:sz w:val="17"/>
          </w:rPr>
          <w:t xml:space="preserve">Altum - Interim report 6M 2026 (unaudited), p. 14-15,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7">
        <w:r>
          <w:rPr>
            <w:color w:val="2A78D6"/>
            <w:sz w:val="17"/>
          </w:rPr>
          <w:t xml:space="preserve">SEB Policy on Sustainability Considerations in Investments (2026-04-15), p. 5, 7, 2026-04-15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Altum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Altum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Altum</w:t>
    </w:r>
    <w:r>
      <w:rPr>
        <w:b w:val="0"/>
        <w:color w:val="667085"/>
        <w:sz w:val="16"/>
      </w:rPr>
      <w:tab/>
      <w:t>Emitento apžvalga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asdaqbaltic.com/market/upload/reports/altm/2026_q2_en.pdf#page=3" TargetMode="External"/><Relationship Id="rId13" Type="http://schemas.openxmlformats.org/officeDocument/2006/relationships/hyperlink" Target="https://nasdaqbaltic.com/statistics/en/instrument/LV0000104669/reports" TargetMode="External"/><Relationship Id="rId14" Type="http://schemas.openxmlformats.org/officeDocument/2006/relationships/hyperlink" Target="https://nasdaqbaltic.com/market/upload/reports/altm/2026_q2_en.pdf#page=13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nasdaqbaltic.com/market/upload/reports/altm/2026_q2_en.pdf#page=2" TargetMode="External"/><Relationship Id="rId17" Type="http://schemas.openxmlformats.org/officeDocument/2006/relationships/hyperlink" Target="https://nasdaqbaltic.com/market/upload/reports/altm/2026_q2_en.pdf#page=22" TargetMode="External"/><Relationship Id="rId18" Type="http://schemas.openxmlformats.org/officeDocument/2006/relationships/hyperlink" Target="https://nasdaqbaltic.com/market/upload/reports/altm/2026_q2_en.pdf#page=15" TargetMode="External"/><Relationship Id="rId19" Type="http://schemas.openxmlformats.org/officeDocument/2006/relationships/hyperlink" Target="https://nasdaqbaltic.com/statistics/en/instrument/LV0000104669/security?date=2026-10-19" TargetMode="External"/><Relationship Id="rId20" Type="http://schemas.openxmlformats.org/officeDocument/2006/relationships/hyperlink" Target="https://nasdaqbaltic.com/market/upload/reports/altm/2026_q2_en.pdf#page=5" TargetMode="External"/><Relationship Id="rId21" Type="http://schemas.openxmlformats.org/officeDocument/2006/relationships/hyperlink" Target="https://nasdaqbaltic.com/market/upload/reports/altm/2026_q2_en.pdf#page=6" TargetMode="External"/><Relationship Id="rId22" Type="http://schemas.openxmlformats.org/officeDocument/2006/relationships/hyperlink" Target="https://news.google.com/rss/articles/CBMilAFBVV95cUxPOWtQZW94S3pyNHdsOUZYSTd5UlliazBZRzZobWJHOXV3bjYzbXdKa3lKNGpRQm14MHd5V0JrOW0yWUVUMWZXenUyM0lPamd6WEZkZHJXQUI2QVpLbzJGQW5pMUdCUXhFQVA5YkRaTGc4STJTa0FRZV9RS2l4R05zWjNuMHRHZUZxcUVMQ0lDNUJ5Qk1V?oc=5" TargetMode="External"/><Relationship Id="rId23" Type="http://schemas.openxmlformats.org/officeDocument/2006/relationships/hyperlink" Target="https://news.google.com/rss/articles/CBMiqwFBVV95cUxQajVKaFc3MFgtVVN4XzBMdkxkTlY5S2QtamdBdUdCWXJJTnV0UHYtbE5UNzQtSk1aN3lhSkdLdjhaaEFXU05IdjdYUFd4cFRaOXJxaWhfLTFnalZhSWdSSmJqSWdlM2M1bWNWM3J0RDFUVFh6Q291ZXFsOWhfOEFyNXEzZVZOVU5acUVDazJjOFF6eEtwWmg2WDJnT05vYjZNWkJKQ2Zrb3dRcDQ?oc=5" TargetMode="External"/><Relationship Id="rId24" Type="http://schemas.openxmlformats.org/officeDocument/2006/relationships/hyperlink" Target="https://sanctionssearch.ofac.treas.gov/" TargetMode="External"/><Relationship Id="rId25" Type="http://schemas.openxmlformats.org/officeDocument/2006/relationships/hyperlink" Target="https://www.sanctionsmap.eu/#/main" TargetMode="External"/><Relationship Id="rId26" Type="http://schemas.openxmlformats.org/officeDocument/2006/relationships/hyperlink" Target="https://nasdaqbaltic.com/market/upload/reports/altm/2026_q2_en.pdf#page=14" TargetMode="External"/><Relationship Id="rId27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