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Citadele banka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Bank (Baltic universal bank; LV, LT, EE;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7.125%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XS3060301168  ·  7.125%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3.875% fixed/floating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XS3148256913  ·  3.875% · 2029-12-23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39.8m (−8%), ROE 13.7%; CET1 17.8%, total capital 21.6%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Citing geopolitical uncertainty, the bank paid out only 31.5% of profit as dividends, which favours bondholders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39.8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8.1 %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0.7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slightly lower:</w:t>
      </w:r>
      <w:r>
        <w:rPr>
          <w:b w:val="0"/>
        </w:rPr>
        <w:t xml:space="preserve"> 1H net profit (continuing operations) EUR 39.8m versus 43.3m; ROE 13.7% (15.4%). Net interest income stable at EUR 89.5m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with headroom:</w:t>
      </w:r>
      <w:r>
        <w:rPr>
          <w:b w:val="0"/>
        </w:rPr>
        <w:t xml:space="preserve"> CET1 17.8%, total capital 21.6%, LCR 163%, NSFR 138%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Cautious dividends:</w:t>
      </w:r>
      <w:r>
        <w:rPr>
          <w:b w:val="0"/>
        </w:rPr>
        <w:t xml:space="preserve"> EUR 25.7m paid for 2025 (31.5% payout versus a 50% policy) due to geopolitical uncertainty; a EUR 50m share buyback was completed in January 2026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 changes:</w:t>
      </w:r>
      <w:r>
        <w:rPr>
          <w:b w:val="0"/>
        </w:rPr>
        <w:t xml:space="preserve"> S. Mizak left the board (March 2026) and CRO J. Lebedinska-Ļitvinova stepped down (May 2026); E. Näsäkkälä is nominated as the new CRO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3.2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EUR 3,947m (+4.9% since YE2025), deposits EUR 4,325m (own calculation)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Cost/income 50.3% (47.1%), cost of risk 0.3%, stage 3 loans 1.9% (2.1%)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1H EUR 56.4m (7.5% of new lending); EUR 176.2m in 2025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(continuing operations) EUR 84.7m (2024:</w:t>
      </w:r>
      <w:r>
        <w:rPr>
          <w:b w:val="0"/>
        </w:rPr>
        <w:t xml:space="preserve"> 94.5m), ROE 14.6% (17.5%); the Swiss Kaleido Privatbank was sold in 2025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2026-09-28 EUR 50m of senior preferred bonds (5.15%) were issued; part of the proceeds will buy back EUR 40m of subordinated bonds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50% of prior-year profit, subject to internal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31.5% paid for 2025; the remaining EUR 15.1m may be paid later in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board reduced the payout due to geopolitical uncertainty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financing target of EUR 75m for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1H: EUR 56.4m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75% of the annual target reached in the half year (own calculation)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Vision: become the Baltic banking champion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 book growing, ROE 13.7%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goal.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3.875% senior preferred (MREL) bond, EUR 300m, fixed until 2028-12-23 then 3M EURIBOR + 1.70%, maturing 2029-12-23, rated Baa2; and a 7.125% perpetual AT1, EUR 50m, first reset (call) date 2031-01-09, rated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AT1 holders:</w:t>
      </w:r>
      <w:r>
        <w:rPr>
          <w:b w:val="0"/>
        </w:rPr>
        <w:t xml:space="preserve"> CET1 of 17.8% is well above requirements, and the cautious dividend policy supports capital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Owners:</w:t>
      </w:r>
      <w:r>
        <w:rPr>
          <w:b w:val="0"/>
        </w:rPr>
        <w:t xml:space="preserve"> Ripplewood consortium 69.8%, EBRD 27.8%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An extraordinary shareholders' meeting was held on 2026-10-12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good profitability, strong capital and cheap funding. 9M results due on 2026-11-04.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 narrowing:</w:t>
      </w:r>
      <w:r>
        <w:rPr>
          <w:b w:val="0"/>
        </w:rPr>
        <w:t xml:space="preserve"> net interest income EUR 89.5m (flat), NIM 3.7% (3.8%) due to lower average Euribor, offset by loan growth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Costs +5% on consulting, IT and communications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Macro:</w:t>
      </w:r>
      <w:r>
        <w:rPr>
          <w:b w:val="0"/>
        </w:rPr>
        <w:t xml:space="preserve"> the ECB raised the deposit rate by 25 bp to 2.25% in June; markets do not exclude further hikes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2026 GDP forecasts: Latvia 1.8%, Lithuania 2.9%, Estonia 2.2%; Lithuanian inflation 5.8%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higher-for-longer interest rates will continue to shape the Baltic outlook</w:t>
      </w:r>
      <w:hyperlink r:id="rId1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2026-09-29 Citadele placed a EUR 50m bond issue, oversubscribed 1.35 times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Customer safety:</w:t>
      </w:r>
      <w:r>
        <w:rPr>
          <w:b w:val="0"/>
        </w:rPr>
        <w:t xml:space="preserve"> in October the bank warned of new fraud schemes (impersonating bank staff) – customer warnings, not breaches</w:t>
      </w:r>
      <w:hyperlink r:id="rId2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EE, LT, LV), 2026-08-02 – 2026-10-31: 14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B2430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667085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Banka "Citadele": Degvielas cenas tuvojas līmenim, kas var paātrināt pāreju uz elektroauto</w:t>
              </w:r>
            </w:hyperlink>
            <w:r>
              <w:rPr>
                <w:b w:val="0"/>
                <w:color w:val="667085"/>
                <w:sz w:val="15"/>
              </w:rPr>
              <w:t xml:space="preserve">   iAuto.lv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B2430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„Citadele“ bankas įspėja apie netikrus „WhatsApp“ profilius, apsimetančius banko darbuotojais</w:t>
              </w:r>
            </w:hyperlink>
            <w:r>
              <w:rPr>
                <w:b w:val="0"/>
                <w:color w:val="667085"/>
                <w:sz w:val="15"/>
              </w:rPr>
              <w:t xml:space="preserve">   Aukštaitijos internetinė naujienų agentūra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"Citadele" brīdina par pastiprinātu krāpnieku aktivitāti: uzmanieties no šādām ziņām "WhatsApp"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“Citadele” piešķīrusi 3,9 miljonu eiro finansējumu Latgales energodrošības stiprināšanai</w:t>
              </w:r>
            </w:hyperlink>
            <w:r>
              <w:rPr>
                <w:b w:val="0"/>
                <w:color w:val="667085"/>
                <w:sz w:val="15"/>
              </w:rPr>
              <w:t xml:space="preserve">   Kursors.lv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667085"/>
                <w:sz w:val="15"/>
              </w:rPr>
              <w:t xml:space="preserve">   Radio1.lv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 and has defined industries it does not finance due to significant negative environmental impact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supervisory fines found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2026-08-02 – 2026-10-31: 14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Lending Framework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176.2m in 2025 (2024: 102.4m), green savings EUR 52m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Member of the UN Principles for Responsible Banking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asset manager is a PRI signatory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net-zero financed emissions by 2050 (Transition Plan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Financing exclusions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2050 climate target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UN PRB membership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training for close to 100% of staff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 figures not found in the report.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well capitalised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11% of new lending in 2025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management board 43%, supervisory board 25%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growing, with a climate target and UN PRB membership.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Citadele - Interim report 6M 2026, p. 6,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5">
        <w:r>
          <w:rPr>
            <w:color w:val="2A78D6"/>
            <w:sz w:val="17"/>
          </w:rPr>
          <w:t xml:space="preserve">Citadele - Interim report 6M 2026, p. 9,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Citadele - Interim report 6M 2026, p. 10,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5">
        <w:r>
          <w:rPr>
            <w:color w:val="2A78D6"/>
            <w:sz w:val="17"/>
          </w:rPr>
          <w:t xml:space="preserve">Citadele - Interim report 6M 2026, p.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Citadele banka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wAFBVV95cUxOYkx2UGhDM3RVdUlLcmFKcmtWd2ZuZXhXWUw4OW9TZDd5NTBhOGhhbEk1RWRkeW9QcXgzdHFuN0dDM3FXa3hOYTZSbkR5Nlc2bWJJQkdMa1lZNUxJeVFfMUlSVG51MUtMNkRCUVZ5a3Z4N3Q4d0l0QXUxdzV3MThJQnJTRTNZdFBHVWstMTEzOW51cmNlYkpBQUxld2FfRmQyVFh2V1ZVWnVWUjk4NkkxM28wa0RVM1BJQmQzSENURkk?oc=5" TargetMode="External"/><Relationship Id="rId23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4" Type="http://schemas.openxmlformats.org/officeDocument/2006/relationships/hyperlink" Target="https://news.google.com/rss/articles/CBMiqAFBVV95cUxQT1N2SndMNFBHR2loaTBWeUVNc2w0REE2VHdsTnZPNTNmNVROZ2VjbmxMZVVKUG9MTkZubFpBcC1PSy1uZ3JjeWZYTGx4XzBGemZsWExLOWtSdG5wbklVZGFsNG51M3lhS2xfU1ZUVGFGcWJpQnFHNTA4U3I3bDU3UEVlTUdycDZ0bTBTMkxJdUZpWVJQY3hKMnJ1c05HbkdvRWZhZWNHd2s?oc=5" TargetMode="External"/><Relationship Id="rId25" Type="http://schemas.openxmlformats.org/officeDocument/2006/relationships/hyperlink" Target="https://news.google.com/rss/articles/CBMiyAFBVV95cUxQcEFCMHAtTFNBY0t4Y3IyX09hdm84NUx3dmE3XzhHLXBTOTJVZ1BxWHhFbmpmU2NmdVM5MGpLSVlldzVHZlNUb255WE1rc2lHLWpyTXRtTm5aQ05nRF9jem9GblJKdWNyWFBGMkJGOUpWcXdSWWVjYUNIZVAySWJHbFZTT2pQUTk4QmJuVGhuZkxfTDZNT0xYYnF2NlplbFRFVFZiOE93cXo5a0lzVW5qdFV1NkRnZ2dyWmpyOU5CUlJnYlhqUnB5ZA?oc=5" TargetMode="External"/><Relationship Id="rId26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7" Type="http://schemas.openxmlformats.org/officeDocument/2006/relationships/hyperlink" Target="https://news.google.com/rss/articles/CBMitwFBVV95cUxQSGZOQVZaWGswMVZ2LWN4UUhOVERjTzVXT1o1aFphWnI5Vm0za2JjNElIazA5emxXR2FCZUVFU0NXUURUQXFweGZUVVVpbmxYZ2gxbm05dE1rUUhVaXRPQzFFWDFISWhBU3MyaldhaGNQQ2Y3WUdCRTRKSk0xa2VhbDNVT3ZpOEVJR3cteGFJTmo1X0FERmxGOEJSWEJzVE5oS214REQ0SUx1dWdoeHRhVXIxQWdKcmM?oc=5" TargetMode="External"/><Relationship Id="rId28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9" Type="http://schemas.openxmlformats.org/officeDocument/2006/relationships/hyperlink" Target="https://sanctionssearch.ofac.treas.gov/" TargetMode="External"/><Relationship Id="rId30" Type="http://schemas.openxmlformats.org/officeDocument/2006/relationships/hyperlink" Target="https://www.sanctionsmap.eu/#/main" TargetMode="External"/><Relationship Id="rId3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