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Issuer review · FY2026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LATRAPS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Latvia · Agricultural cooperative (grain and rapeseed trading, storage, malt; pea protein plant under construction)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OK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Key facts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Issuer rating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nerasta (no credit rating found)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Analysis date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Next report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Audited annual report FY2025/26 - expected November 2026 (FY2024/25 report was signed 2025-11-24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b w:val="0"/>
                <w:sz w:val="18"/>
              </w:rPr>
              <w:t>)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Country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Latvia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Securities held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LATRAPS 7.5% bond 2028 (First North)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LV0000805349  ·  7.5% · 2028-12-12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Position OK.</w:t>
            </w:r>
            <w:r>
              <w:rPr>
                <w:b w:val="0"/>
                <w:color w:val="1B2430"/>
                <w:sz w:val="21"/>
              </w:rPr>
              <w:t xml:space="preserve"> LATRAPS is a cooperative of 1,214 Latvian farmers; FY2025/26 profit EUR 2.8m, and both bond covenants are met: adjusted equity ratio 29.4% (floor 20%), EBITDA / interest 2.7x (floor 2.0x)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b w:val="0"/>
                <w:color w:val="1B2430"/>
                <w:sz w:val="21"/>
              </w:rPr>
              <w:t>. To watch: debt is rising with the EUR 132m pea protein plant</w:t>
            </w:r>
            <w:hyperlink r:id="rId15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Revenue</w:t>
            </w:r>
            <w:r>
              <w:rPr>
                <w:b w:val="0"/>
                <w:color w:val="667085"/>
                <w:sz w:val="14"/>
              </w:rPr>
              <w:t xml:space="preserve">  ·  FY2026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240.2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5.5 %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profit</w:t>
            </w:r>
            <w:r>
              <w:rPr>
                <w:b w:val="0"/>
                <w:color w:val="667085"/>
                <w:sz w:val="14"/>
              </w:rPr>
              <w:t xml:space="preserve">  ·  FY2026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2.77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1.1 %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Equity ratio</w:t>
            </w:r>
            <w:r>
              <w:rPr>
                <w:b w:val="0"/>
                <w:color w:val="667085"/>
                <w:sz w:val="14"/>
              </w:rPr>
              <w:t xml:space="preserve">  ·  FY2026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29.4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3.4 p. p.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EBITDA / interest</w:t>
            </w:r>
            <w:r>
              <w:rPr>
                <w:b w:val="0"/>
                <w:color w:val="667085"/>
                <w:sz w:val="14"/>
              </w:rPr>
              <w:t xml:space="preserve">  ·  FY2026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2.7</w:t>
            </w:r>
            <w:r>
              <w:rPr>
                <w:b w:val="0"/>
                <w:color w:val="667085"/>
                <w:sz w:val="18"/>
              </w:rPr>
              <w:t xml:space="preserve"> x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• 0x vs FY2025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Quick summary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Periods:</w:t>
      </w:r>
      <w:r>
        <w:rPr>
          <w:b w:val="0"/>
        </w:rPr>
        <w:t xml:space="preserve"> the financial year runs 1 July - 30 June; FY2026 = Jul 2025 - Jun 2026, 6M2026 = Jul-Dec 2025</w:t>
      </w:r>
      <w:hyperlink r:id="rId13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color w:val="2A78D6"/>
          <w:vertAlign w:val="superscript"/>
        </w:rPr>
        <w:t>,</w:t>
      </w:r>
      <w:hyperlink r:id="rId16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Sales lower, profit stable:</w:t>
      </w:r>
      <w:r>
        <w:rPr>
          <w:b w:val="0"/>
        </w:rPr>
        <w:t xml:space="preserve"> revenue EUR 240.2m (254.3m), profit EUR 2.77m (2.74m), 1.1% of turnover; grain prices stayed low and part of the harvest missed food-grade standards due to wet weather</w:t>
      </w:r>
      <w:hyperlink r:id="rId17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Covenants met:</w:t>
      </w:r>
      <w:r>
        <w:rPr>
          <w:b w:val="0"/>
        </w:rPr>
        <w:t xml:space="preserve"> adjusted equity ratio 29.4% (32.8%), floor 20%; adjusted EBITDA / interest 2.7x (2.7x), floor 2.0x</w:t>
      </w:r>
      <w:hyperlink r:id="rId18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Debt rising:</w:t>
      </w:r>
      <w:r>
        <w:rPr>
          <w:b w:val="0"/>
        </w:rPr>
        <w:t xml:space="preserve"> net debt about EUR 62.4m (45.1m a year earlier; own calculation), total assets EUR 142.0m (121.4m)</w:t>
      </w:r>
      <w:hyperlink r:id="rId19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Instruments held and ISINs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Instrument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Coupon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Maturity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Issue rating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Note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LV0000805349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LATRAPS 7.5% bond 2028 (First North)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7.5%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2028-12-12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Quarterly coupon; listed 2025-03-05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Key ratios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Metric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FY2026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Change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Revenue, EUR m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167.4*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254.3*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151.8*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240.2*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5.5 %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profit, EUR m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4.13*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4.55*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2.77*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1.1 %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assets, EUR m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105.1*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121.4*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119.6*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142.0*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▲ 17.0 %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Equity, EUR m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35.8*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34.4*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38.5*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36.7*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6.7 %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 ratio</w:t>
            </w:r>
            <w:hyperlink r:id="rId25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39.8%*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32.8%*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37.1%*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29.4%*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3.4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EBITDA / interest</w:t>
            </w:r>
            <w:hyperlink r:id="rId25">
              <w:r>
                <w:rPr>
                  <w:color w:val="2A78D6"/>
                  <w:vertAlign w:val="superscript"/>
                  <w:sz w:val="14"/>
                </w:rPr>
                <w:t xml:space="preserve">16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2.5x*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2.7x*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2.8x*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2.7x*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• 0x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debt, EUR m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4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45.1ᶜ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62.4ᶜ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38.4 % vs FY2025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Colours: green change – the metric is improving, red – worsening. Latest-period cell background: green – good level, amber – average, red – weak (internal benchmarks,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taken from the report summary;  ᶜ – own calculation. Small numbers next to text link to the source (opens the document at the cited page).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raps_e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Business performance review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The cooperative buys, stores and exports its members' grain and rapeseed (to nearly 30 countries); storage capacity nearly 220,000 t; owns LATMALT (malt, 100%)</w:t>
      </w:r>
      <w:hyperlink r:id="rId28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color w:val="2A78D6"/>
          <w:vertAlign w:val="superscript"/>
        </w:rPr>
        <w:t>,</w:t>
      </w:r>
      <w:hyperlink r:id="rId29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A pea protein plant is being built in Jelgava (ASNS Ingredient, 51.42%): up to 70,000 t of peas a year, EUR 132m investment, completion planned in 1H 2027</w:t>
      </w:r>
      <w:hyperlink r:id="rId28">
        <w:r>
          <w:rPr>
            <w:color w:val="2A78D6"/>
            <w:vertAlign w:val="superscript"/>
            <w:sz w:val="17"/>
          </w:rPr>
          <w:t xml:space="preserve">20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EUR 4.2m of investment in the Jaunpagasts, Aizkraukle and Jēkabpils sites (EU co-financed) was completed in September 2026; the Alpha Osta stake was sold</w:t>
      </w:r>
      <w:hyperlink r:id="rId30">
        <w:r>
          <w:rPr>
            <w:color w:val="2A78D6"/>
            <w:vertAlign w:val="superscript"/>
            <w:sz w:val="17"/>
          </w:rPr>
          <w:t xml:space="preserve">21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Financials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Gross profit EUR 16.9m (17.6m), interest expense EUR 2.86m (2.71m)</w:t>
      </w:r>
      <w:hyperlink r:id="rId13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 Equity EUR 36.7m (34.4m)</w:t>
      </w:r>
      <w:hyperlink r:id="rId24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EBITDA is not reported separately; only the covenant ratio EBITDA / interest is given</w:t>
      </w:r>
      <w:hyperlink r:id="rId18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Past plans vs outcomes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 / target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Outcome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What changed and why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Status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Pea protein plant in Jelgava (EUR 132m) - completion in 1H 2027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Under construction; schedule unchanged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On schedule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Storage investments (EUR 4.2m, EU co-financed)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Completed in September 2026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Done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Met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Sell the Alpha Osta stake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Sale completed</w:t>
            </w:r>
            <w:hyperlink r:id="rId31">
              <w:r>
                <w:rPr>
                  <w:color w:val="2A78D6"/>
                  <w:vertAlign w:val="superscript"/>
                  <w:sz w:val="14"/>
                </w:rPr>
                <w:t xml:space="preserve">22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30">
              <w:r>
                <w:rPr>
                  <w:color w:val="2A78D6"/>
                  <w:vertAlign w:val="superscript"/>
                  <w:sz w:val="14"/>
                </w:rPr>
                <w:t xml:space="preserve">23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Done</w:t>
            </w:r>
            <w:hyperlink r:id="rId30">
              <w:r>
                <w:rPr>
                  <w:color w:val="2A78D6"/>
                  <w:vertAlign w:val="superscript"/>
                  <w:sz w:val="14"/>
                </w:rPr>
                <w:t xml:space="preserve">23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Met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Investor information &amp; conclusions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Instrument held:</w:t>
      </w:r>
      <w:r>
        <w:rPr>
          <w:b w:val="0"/>
        </w:rPr>
        <w:t xml:space="preserve"> a 7.5% bond, EUR 8m, issued December 2024, maturing 2028-12-12, quarterly coupon; Nasdaq Riga First North since 2025-03-05</w:t>
      </w:r>
      <w:hyperlink r:id="rId32">
        <w:r>
          <w:rPr>
            <w:color w:val="2A78D6"/>
            <w:vertAlign w:val="superscript"/>
            <w:sz w:val="17"/>
          </w:rPr>
          <w:t xml:space="preserve">24</w:t>
        </w:r>
      </w:hyperlink>
      <w:r>
        <w:rPr>
          <w:color w:val="2A78D6"/>
          <w:vertAlign w:val="superscript"/>
        </w:rPr>
        <w:t>,</w:t>
      </w:r>
      <w:hyperlink r:id="rId33">
        <w:r>
          <w:rPr>
            <w:color w:val="2A78D6"/>
            <w:vertAlign w:val="superscript"/>
            <w:sz w:val="17"/>
          </w:rPr>
          <w:t xml:space="preserve">25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Covenants:</w:t>
      </w:r>
      <w:r>
        <w:rPr>
          <w:b w:val="0"/>
        </w:rPr>
        <w:t xml:space="preserve"> adjusted equity ratio ≥20% (29.4%), adjusted EBITDA ≥2x interest (2.7x) – met</w:t>
      </w:r>
      <w:hyperlink r:id="rId18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 Headroom shrank over the year (equity ratio 32.8% → 29.4%).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Ranking and security:</w:t>
      </w:r>
      <w:r>
        <w:rPr>
          <w:b w:val="0"/>
        </w:rPr>
        <w:t xml:space="preserve"> the bond is a small part of debt (8 of ~EUR 63.5m); ranking and security were not found in the reports</w:t>
      </w:r>
      <w:hyperlink r:id="rId34">
        <w:r>
          <w:rPr>
            <w:color w:val="2A78D6"/>
            <w:vertAlign w:val="superscript"/>
            <w:sz w:val="17"/>
          </w:rPr>
          <w:t xml:space="preserve">26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Conclusion:</w:t>
      </w:r>
      <w:r>
        <w:rPr>
          <w:b w:val="0"/>
        </w:rPr>
        <w:t xml:space="preserve"> moderate risk – thin profit margin and rising debt, but covenants are met and profit is stable.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Market and environment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Low grain prices:</w:t>
      </w:r>
      <w:r>
        <w:rPr>
          <w:b w:val="0"/>
        </w:rPr>
        <w:t xml:space="preserve"> grain prices stayed low while production costs remained high – selling prices well below the previous five years</w:t>
      </w:r>
      <w:hyperlink r:id="rId17">
        <w:r>
          <w:rPr>
            <w:color w:val="2A78D6"/>
            <w:vertAlign w:val="superscript"/>
            <w:sz w:val="17"/>
          </w:rPr>
          <w:t xml:space="preserve">27</w:t>
        </w:r>
      </w:hyperlink>
      <w:r>
        <w:rPr>
          <w:b w:val="0"/>
        </w:rPr>
        <w:t>. EU growers have higher costs than competing export regions</w:t>
      </w:r>
      <w:hyperlink r:id="rId17">
        <w:r>
          <w:rPr>
            <w:color w:val="2A78D6"/>
            <w:vertAlign w:val="superscript"/>
            <w:sz w:val="17"/>
          </w:rPr>
          <w:t xml:space="preserve">27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Weather:</w:t>
      </w:r>
      <w:r>
        <w:rPr>
          <w:b w:val="0"/>
        </w:rPr>
        <w:t xml:space="preserve"> an overly wet summer and autumn hampered harvesting; an unusually large share of grain missed food-grade standards and was sold as feed, though overall yields beat forecasts</w:t>
      </w:r>
      <w:hyperlink r:id="rId17">
        <w:r>
          <w:rPr>
            <w:color w:val="2A78D6"/>
            <w:vertAlign w:val="superscript"/>
            <w:sz w:val="17"/>
          </w:rPr>
          <w:t xml:space="preserve">28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Result:</w:t>
      </w:r>
      <w:r>
        <w:rPr>
          <w:b w:val="0"/>
        </w:rPr>
        <w:t xml:space="preserve"> turnover EUR 240m, profit EUR 2.7m (1.1% of turnover); rising business and labour costs in Latvia weigh on profitability</w:t>
      </w:r>
      <w:hyperlink r:id="rId35">
        <w:r>
          <w:rPr>
            <w:color w:val="2A78D6"/>
            <w:vertAlign w:val="superscript"/>
            <w:sz w:val="17"/>
          </w:rPr>
          <w:t xml:space="preserve">29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Now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3 months ago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 months ago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12-month change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deposit facility rate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2.50%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2.25%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2.64%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2.34%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2.03%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2.92%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3.25%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2.80%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2.17%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1.08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AAA government 10-year yield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3.37%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3.23%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2.72%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0.65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inflation (HICP, annual)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1.90%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2.40%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0.50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area rates and inflation (ECB data, end-of-month value; Euribor and inflation – monthly average). Relevant for floating-rate and reset bonds and refinancing costs.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In the press</w:t>
      </w:r>
    </w:p>
    <w:p>
      <w:pPr>
        <w:spacing w:before="40" w:after="60"/>
      </w:pPr>
      <w:r>
        <w:rPr>
          <w:b w:val="0"/>
          <w:color w:val="667085"/>
          <w:sz w:val="18"/>
        </w:rPr>
        <w:t>Automatic news scan (Google News, LV), 2026-08-02 – 2026-10-31: 1 articles.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2026-10-19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36">
              <w:r>
                <w:rPr>
                  <w:color w:val="1B2430"/>
                  <w:sz w:val="18"/>
                </w:rPr>
                <w:t xml:space="preserve">LATRAPS nopelnījis 2,7 miljonus eiro</w:t>
              </w:r>
            </w:hyperlink>
            <w:r>
              <w:rPr>
                <w:b w:val="0"/>
                <w:color w:val="667085"/>
                <w:sz w:val="15"/>
              </w:rPr>
              <w:t xml:space="preserve">   Investoru Klubs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Grain and rapeseed trading and processing in the EU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None of the activities restricted by the SEB Agriculture policy (deforestation, uncertified palm oil or soy) found</w:t>
            </w:r>
            <w:hyperlink r:id="rId37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38">
              <w:r>
                <w:rPr>
                  <w:color w:val="2A78D6"/>
                  <w:vertAlign w:val="superscript"/>
                  <w:sz w:val="15"/>
                </w:rPr>
                <w:t xml:space="preserve">31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fines, violations or complaints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corruption convictions</w:t>
            </w:r>
            <w:hyperlink r:id="rId39">
              <w:r>
                <w:rPr>
                  <w:color w:val="2A78D6"/>
                  <w:vertAlign w:val="superscript"/>
                  <w:sz w:val="15"/>
                </w:rPr>
                <w:t xml:space="preserve">32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Not found on the EU, UN, US OFAC consolidated sanctions lists (automatic check 2026-10-31).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Manual check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OFAC sanctions search</w:t>
            </w:r>
            <w:hyperlink r:id="rId40">
              <w:r>
                <w:rPr>
                  <w:color w:val="2A78D6"/>
                  <w:vertAlign w:val="superscript"/>
                  <w:sz w:val="15"/>
                </w:rPr>
                <w:t xml:space="preserve">33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EU Sanctions Map</w:t>
            </w:r>
            <w:hyperlink r:id="rId41">
              <w:r>
                <w:rPr>
                  <w:color w:val="2A78D6"/>
                  <w:vertAlign w:val="superscript"/>
                  <w:sz w:val="15"/>
                </w:rPr>
                <w:t xml:space="preserve">34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eNameChecker (internal SEB system).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adverse news found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News summary 2026-08-02 – 2026-10-31: 1 articles, 0 with an adverse keyword in the headline (details in the section "In the press").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pea protein plant produces plant protein from local crops</w:t>
            </w:r>
            <w:hyperlink r:id="rId15">
              <w:r>
                <w:rPr>
                  <w:color w:val="2A78D6"/>
                  <w:vertAlign w:val="superscript"/>
                  <w:sz w:val="15"/>
                </w:rPr>
                <w:t xml:space="preserve">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Targets: +50% renewable energy over five years, 10 electric vehicles a year</w:t>
            </w:r>
            <w:hyperlink r:id="rId42">
              <w:r>
                <w:rPr>
                  <w:color w:val="2A78D6"/>
                  <w:vertAlign w:val="superscript"/>
                  <w:sz w:val="15"/>
                </w:rPr>
                <w:t xml:space="preserve">35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red flags.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company states it has not yet carried out a formal climate risk assessment</w:t>
            </w:r>
            <w:hyperlink r:id="rId43">
              <w:r>
                <w:rPr>
                  <w:color w:val="2A78D6"/>
                  <w:vertAlign w:val="superscript"/>
                  <w:sz w:val="15"/>
                </w:rPr>
                <w:t xml:space="preserve">36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Applicable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Agriculture policy</w:t>
            </w:r>
            <w:hyperlink r:id="rId38">
              <w:r>
                <w:rPr>
                  <w:color w:val="2A78D6"/>
                  <w:vertAlign w:val="superscript"/>
                  <w:sz w:val="15"/>
                </w:rPr>
                <w:t xml:space="preserve">37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Met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 first sustainability report under ESRS / VSME, a whistleblowing channel, a zero workplace accident target</w:t>
            </w:r>
            <w:hyperlink r:id="rId44">
              <w:r>
                <w:rPr>
                  <w:color w:val="2A78D6"/>
                  <w:vertAlign w:val="superscript"/>
                  <w:sz w:val="15"/>
                </w:rPr>
                <w:t xml:space="preserve">38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Could be improved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Climate risk assessment</w:t>
            </w:r>
            <w:hyperlink r:id="rId43">
              <w:r>
                <w:rPr>
                  <w:color w:val="2A78D6"/>
                  <w:vertAlign w:val="superscript"/>
                  <w:sz w:val="15"/>
                </w:rPr>
                <w:t xml:space="preserve">36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need: sustainability reporting has started and no serious gaps were found.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Scope 1 CO2 emissions and headcount are reported (three years of data)</w:t>
            </w:r>
            <w:hyperlink r:id="rId45">
              <w:r>
                <w:rPr>
                  <w:color w:val="2A78D6"/>
                  <w:vertAlign w:val="superscript"/>
                  <w:sz w:val="15"/>
                </w:rPr>
                <w:t xml:space="preserve">39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No exclusions or red flags. The first sustainability report is published; a climate risk assessment has not been done yet.</w:t>
      </w:r>
    </w:p>
    <w:p>
      <w:pPr>
        <w:spacing w:before="40" w:after="60"/>
      </w:pPr>
      <w:r>
        <w:rPr>
          <w:b w:val="0"/>
          <w:color w:val="667085"/>
          <w:sz w:val="16"/>
        </w:rPr>
        <w:t>SEB policies applied: Policy on Sustainability Considerations in Investments (SEB AB); Agriculture, Fishing, Aquaculture and Animal Welfare sector policy;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Sources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LATRAPS - Annual report FY2024/25 (audited, KPMG Baltics), p. 10, 2025-11-24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LATRAPS - 12-month report FY2025/26 (unaudited, local GAAP), p. 12, 20,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LATRAPS - Sustainability report FY2025/26, p. 6,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5">
        <w:r>
          <w:rPr>
            <w:color w:val="2A78D6"/>
            <w:sz w:val="17"/>
          </w:rPr>
          <w:t xml:space="preserve">LATRAPS - 12-month report FY2025/26 (unaudited, local GAAP), p. 7,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3">
        <w:r>
          <w:rPr>
            <w:color w:val="2A78D6"/>
            <w:sz w:val="17"/>
          </w:rPr>
          <w:t xml:space="preserve">LATRAPS - 12-month report FY2025/26 (unaudited, local GAAP), p. 12,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6">
        <w:r>
          <w:rPr>
            <w:color w:val="2A78D6"/>
            <w:sz w:val="17"/>
          </w:rPr>
          <w:t xml:space="preserve">LATRAPS - 6-month report H1 FY2025/26 (Jul-Dec 2025, unaudited), p. 12,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7">
        <w:r>
          <w:rPr>
            <w:color w:val="2A78D6"/>
            <w:sz w:val="17"/>
          </w:rPr>
          <w:t xml:space="preserve">LATRAPS - 12-month report FY2025/26 (unaudited, local GAAP), p. 4-5, 7, 12,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8">
        <w:r>
          <w:rPr>
            <w:color w:val="2A78D6"/>
            <w:sz w:val="17"/>
          </w:rPr>
          <w:t xml:space="preserve">LATRAPS - 12-month report FY2025/26 (unaudited, local GAAP), p. 20,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9">
        <w:r>
          <w:rPr>
            <w:color w:val="2A78D6"/>
            <w:sz w:val="17"/>
          </w:rPr>
          <w:t xml:space="preserve">LATRAPS - 12-month report FY2025/26 (unaudited, local GAAP), p. 13-14, 18-19,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20">
        <w:r>
          <w:rPr>
            <w:color w:val="2A78D6"/>
            <w:sz w:val="17"/>
          </w:rPr>
          <w:t xml:space="preserve">LATRAPS - Annual report FY2024/25 (audited, KPMG Baltics), p. 11, 2025-11-24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21">
        <w:r>
          <w:rPr>
            <w:color w:val="2A78D6"/>
            <w:sz w:val="17"/>
          </w:rPr>
          <w:t xml:space="preserve">LATRAPS - 6-month report H1 FY2025/26 (Jul-Dec 2025, unaudited), p. 13,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2">
        <w:r>
          <w:rPr>
            <w:color w:val="2A78D6"/>
            <w:sz w:val="17"/>
          </w:rPr>
          <w:t xml:space="preserve">LATRAPS - Annual report FY2024/25 (audited, KPMG Baltics), p. 12, 2025-11-24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19">
        <w:r>
          <w:rPr>
            <w:color w:val="2A78D6"/>
            <w:sz w:val="17"/>
          </w:rPr>
          <w:t xml:space="preserve">LATRAPS - 12-month report FY2025/26 (unaudited, local GAAP), p. 13,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3">
        <w:r>
          <w:rPr>
            <w:color w:val="2A78D6"/>
            <w:sz w:val="17"/>
          </w:rPr>
          <w:t xml:space="preserve">LATRAPS - 6-month report H1 FY2025/26 (Jul-Dec 2025, unaudited), p. 14,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4">
        <w:r>
          <w:rPr>
            <w:color w:val="2A78D6"/>
            <w:sz w:val="17"/>
          </w:rPr>
          <w:t xml:space="preserve">LATRAPS - 12-month report FY2025/26 (unaudited, local GAAP), p. 14,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25">
        <w:r>
          <w:rPr>
            <w:color w:val="2A78D6"/>
            <w:sz w:val="17"/>
          </w:rPr>
          <w:t xml:space="preserve">LATRAPS - 6-month report H1 FY2025/26 (Jul-Dec 2025, unaudited), p. 20,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6">
        <w:r>
          <w:rPr>
            <w:color w:val="2A78D6"/>
            <w:sz w:val="17"/>
          </w:rPr>
          <w:t xml:space="preserve">LATRAPS - Annual report FY2024/25 (audited, KPMG Baltics), 2025-11-24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28">
        <w:r>
          <w:rPr>
            <w:color w:val="2A78D6"/>
            <w:sz w:val="17"/>
          </w:rPr>
          <w:t xml:space="preserve">LATRAPS - 12-month report FY2025/26 (unaudited, local GAAP), p. 1, 5,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29">
        <w:r>
          <w:rPr>
            <w:color w:val="2A78D6"/>
            <w:sz w:val="17"/>
          </w:rPr>
          <w:t xml:space="preserve">LATRAPS - 6-month report H1 FY2025/26 (Jul-Dec 2025, unaudited), p.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28">
        <w:r>
          <w:rPr>
            <w:color w:val="2A78D6"/>
            <w:sz w:val="17"/>
          </w:rPr>
          <w:t xml:space="preserve">LATRAPS - 12-month report FY2025/26 (unaudited, local GAAP), p. 1, 7,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30">
        <w:r>
          <w:rPr>
            <w:color w:val="2A78D6"/>
            <w:sz w:val="17"/>
          </w:rPr>
          <w:t xml:space="preserve">LATRAPS - 12-month report FY2025/26 (unaudited, local GAAP), p. 2, 7,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31">
        <w:r>
          <w:rPr>
            <w:color w:val="2A78D6"/>
            <w:sz w:val="17"/>
          </w:rPr>
          <w:t xml:space="preserve">LATRAPS - Annual report FY2024/25 (audited, KPMG Baltics), p. 8, 2025-11-24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30">
        <w:r>
          <w:rPr>
            <w:color w:val="2A78D6"/>
            <w:sz w:val="17"/>
          </w:rPr>
          <w:t xml:space="preserve">LATRAPS - 12-month report FY2025/26 (unaudited, local GAAP), p. 2,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24.</w:t>
        <w:tab/>
      </w:r>
      <w:hyperlink r:id="rId32">
        <w:r>
          <w:rPr>
            <w:color w:val="2A78D6"/>
            <w:sz w:val="17"/>
          </w:rPr>
          <w:t xml:space="preserve">Nasdaq Baltic - LATRAPS 7.5% bond LV0000805349,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25.</w:t>
        <w:tab/>
      </w:r>
      <w:hyperlink r:id="rId33">
        <w:r>
          <w:rPr>
            <w:color w:val="2A78D6"/>
            <w:sz w:val="17"/>
          </w:rPr>
          <w:t xml:space="preserve">LATRAPS - 12-month report FY2025/26 (unaudited, local GAAP), p. 19,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26.</w:t>
        <w:tab/>
      </w:r>
      <w:hyperlink r:id="rId34">
        <w:r>
          <w:rPr>
            <w:color w:val="2A78D6"/>
            <w:sz w:val="17"/>
          </w:rPr>
          <w:t xml:space="preserve">LATRAPS - 12-month report FY2025/26 (unaudited, local GAAP), p. 18-19,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27.</w:t>
        <w:tab/>
      </w:r>
      <w:hyperlink r:id="rId17">
        <w:r>
          <w:rPr>
            <w:color w:val="2A78D6"/>
            <w:sz w:val="17"/>
          </w:rPr>
          <w:t xml:space="preserve">LATRAPS - 12-month report FY2025/26 (unaudited, local GAAP), p. 4,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28.</w:t>
        <w:tab/>
      </w:r>
      <w:hyperlink r:id="rId17">
        <w:r>
          <w:rPr>
            <w:color w:val="2A78D6"/>
            <w:sz w:val="17"/>
          </w:rPr>
          <w:t xml:space="preserve">LATRAPS - 12-month report FY2025/26 (unaudited, local GAAP), p. 4, 5,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29.</w:t>
        <w:tab/>
      </w:r>
      <w:hyperlink r:id="rId35">
        <w:r>
          <w:rPr>
            <w:color w:val="2A78D6"/>
            <w:sz w:val="17"/>
          </w:rPr>
          <w:t xml:space="preserve">LATRAPS - 12-month report FY2025/26 (unaudited, local GAAP), p. 6,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30.</w:t>
        <w:tab/>
      </w:r>
      <w:hyperlink r:id="rId37">
        <w:r>
          <w:rPr>
            <w:color w:val="2A78D6"/>
            <w:sz w:val="17"/>
          </w:rPr>
          <w:t xml:space="preserve">LATRAPS - 12-month report FY2025/26 (unaudited, local GAAP), p. 5,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31.</w:t>
        <w:tab/>
      </w:r>
      <w:hyperlink r:id="rId38">
        <w:r>
          <w:rPr>
            <w:color w:val="2A78D6"/>
            <w:sz w:val="17"/>
          </w:rPr>
          <w:t xml:space="preserve">SEB Agriculture, Fishing, Aquaculture and Animal Welfare sector policy (2026-04-23), p. 6-10,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32.</w:t>
        <w:tab/>
      </w:r>
      <w:hyperlink r:id="rId39">
        <w:r>
          <w:rPr>
            <w:color w:val="2A78D6"/>
            <w:sz w:val="17"/>
          </w:rPr>
          <w:t xml:space="preserve">LATRAPS - Sustainability report FY2025/26, p. 23, 37,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33.</w:t>
        <w:tab/>
      </w:r>
      <w:hyperlink r:id="rId40">
        <w:r>
          <w:rPr>
            <w:color w:val="2A78D6"/>
            <w:sz w:val="17"/>
          </w:rPr>
          <w:t xml:space="preserve">OFAC Sanctions List Search (US Treasury)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34.</w:t>
        <w:tab/>
      </w:r>
      <w:hyperlink r:id="rId41">
        <w:r>
          <w:rPr>
            <w:color w:val="2A78D6"/>
            <w:sz w:val="17"/>
          </w:rPr>
          <w:t xml:space="preserve">EU Sanctions Map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35.</w:t>
        <w:tab/>
      </w:r>
      <w:hyperlink r:id="rId42">
        <w:r>
          <w:rPr>
            <w:color w:val="2A78D6"/>
            <w:sz w:val="17"/>
          </w:rPr>
          <w:t xml:space="preserve">LATRAPS - Sustainability report FY2025/26, p. 19,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36.</w:t>
        <w:tab/>
      </w:r>
      <w:hyperlink r:id="rId43">
        <w:r>
          <w:rPr>
            <w:color w:val="2A78D6"/>
            <w:sz w:val="17"/>
          </w:rPr>
          <w:t xml:space="preserve">LATRAPS - Sustainability report FY2025/26, p. 18,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37.</w:t>
        <w:tab/>
      </w:r>
      <w:hyperlink r:id="rId38">
        <w:r>
          <w:rPr>
            <w:color w:val="2A78D6"/>
            <w:sz w:val="17"/>
          </w:rPr>
          <w:t xml:space="preserve">SEB Agriculture, Fishing, Aquaculture and Animal Welfare sector policy (2026-04-23), p. 5-10,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38.</w:t>
        <w:tab/>
      </w:r>
      <w:hyperlink r:id="rId44">
        <w:r>
          <w:rPr>
            <w:color w:val="2A78D6"/>
            <w:sz w:val="17"/>
          </w:rPr>
          <w:t xml:space="preserve">LATRAPS - Sustainability report FY2025/26, p. 3, 19, 36, 2026-09-30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39.</w:t>
        <w:tab/>
      </w:r>
      <w:hyperlink r:id="rId45">
        <w:r>
          <w:rPr>
            <w:color w:val="2A78D6"/>
            <w:sz w:val="17"/>
          </w:rPr>
          <w:t xml:space="preserve">LATRAPS - Sustainability report FY2025/26, p. 22, 27, 2026-09-30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Report prepared from public sources. Figures are as published by the issuer; small numbers next to the text point to the source list.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LATRAPS · FY2026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LATRAPS · FY2026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LATRAPS</w:t>
    </w:r>
    <w:r>
      <w:rPr>
        <w:b w:val="0"/>
        <w:color w:val="667085"/>
        <w:sz w:val="16"/>
      </w:rPr>
      <w:tab/>
      <w:t>Issuer review · FY2026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nasdaqbaltic.com/market/upload/reports/latra/2025_ar_en_las.pdf#page=10" TargetMode="External"/><Relationship Id="rId13" Type="http://schemas.openxmlformats.org/officeDocument/2006/relationships/hyperlink" Target="https://nasdaqbaltic.com/market/upload/reports/latra/2026_q4_en_las.pdf#page=12" TargetMode="External"/><Relationship Id="rId14" Type="http://schemas.openxmlformats.org/officeDocument/2006/relationships/hyperlink" Target="https://nasdaqbaltic.com/market/upload/reports/latra/2026_esg_en.pdf#page=6" TargetMode="External"/><Relationship Id="rId15" Type="http://schemas.openxmlformats.org/officeDocument/2006/relationships/hyperlink" Target="https://nasdaqbaltic.com/market/upload/reports/latra/2026_q4_en_las.pdf#page=7" TargetMode="External"/><Relationship Id="rId16" Type="http://schemas.openxmlformats.org/officeDocument/2006/relationships/hyperlink" Target="https://nasdaqbaltic.com/market/upload/reports/latra/2026_q2_en_las.pdf#page=12" TargetMode="External"/><Relationship Id="rId17" Type="http://schemas.openxmlformats.org/officeDocument/2006/relationships/hyperlink" Target="https://nasdaqbaltic.com/market/upload/reports/latra/2026_q4_en_las.pdf#page=4" TargetMode="External"/><Relationship Id="rId18" Type="http://schemas.openxmlformats.org/officeDocument/2006/relationships/hyperlink" Target="https://nasdaqbaltic.com/market/upload/reports/latra/2026_q4_en_las.pdf#page=20" TargetMode="External"/><Relationship Id="rId19" Type="http://schemas.openxmlformats.org/officeDocument/2006/relationships/hyperlink" Target="https://nasdaqbaltic.com/market/upload/reports/latra/2026_q4_en_las.pdf#page=13" TargetMode="External"/><Relationship Id="rId20" Type="http://schemas.openxmlformats.org/officeDocument/2006/relationships/hyperlink" Target="https://nasdaqbaltic.com/market/upload/reports/latra/2025_ar_en_las.pdf#page=11" TargetMode="External"/><Relationship Id="rId21" Type="http://schemas.openxmlformats.org/officeDocument/2006/relationships/hyperlink" Target="https://nasdaqbaltic.com/market/upload/reports/latra/2026_q2_en_las.pdf#page=13" TargetMode="External"/><Relationship Id="rId22" Type="http://schemas.openxmlformats.org/officeDocument/2006/relationships/hyperlink" Target="https://nasdaqbaltic.com/market/upload/reports/latra/2025_ar_en_las.pdf#page=12" TargetMode="External"/><Relationship Id="rId23" Type="http://schemas.openxmlformats.org/officeDocument/2006/relationships/hyperlink" Target="https://nasdaqbaltic.com/market/upload/reports/latra/2026_q2_en_las.pdf#page=14" TargetMode="External"/><Relationship Id="rId24" Type="http://schemas.openxmlformats.org/officeDocument/2006/relationships/hyperlink" Target="https://nasdaqbaltic.com/market/upload/reports/latra/2026_q4_en_las.pdf#page=14" TargetMode="External"/><Relationship Id="rId25" Type="http://schemas.openxmlformats.org/officeDocument/2006/relationships/hyperlink" Target="https://nasdaqbaltic.com/market/upload/reports/latra/2026_q2_en_las.pdf#page=20" TargetMode="External"/><Relationship Id="rId26" Type="http://schemas.openxmlformats.org/officeDocument/2006/relationships/hyperlink" Target="https://nasdaqbaltic.com/market/upload/reports/latra/2025_ar_en_las.pdf" TargetMode="External"/><Relationship Id="rId27" Type="http://schemas.openxmlformats.org/officeDocument/2006/relationships/image" Target="media/image1.png"/><Relationship Id="rId28" Type="http://schemas.openxmlformats.org/officeDocument/2006/relationships/hyperlink" Target="https://nasdaqbaltic.com/market/upload/reports/latra/2026_q4_en_las.pdf#page=1" TargetMode="External"/><Relationship Id="rId29" Type="http://schemas.openxmlformats.org/officeDocument/2006/relationships/hyperlink" Target="https://nasdaqbaltic.com/market/upload/reports/latra/2026_q2_en_las.pdf#page=8" TargetMode="External"/><Relationship Id="rId30" Type="http://schemas.openxmlformats.org/officeDocument/2006/relationships/hyperlink" Target="https://nasdaqbaltic.com/market/upload/reports/latra/2026_q4_en_las.pdf#page=2" TargetMode="External"/><Relationship Id="rId31" Type="http://schemas.openxmlformats.org/officeDocument/2006/relationships/hyperlink" Target="https://nasdaqbaltic.com/market/upload/reports/latra/2025_ar_en_las.pdf#page=8" TargetMode="External"/><Relationship Id="rId32" Type="http://schemas.openxmlformats.org/officeDocument/2006/relationships/hyperlink" Target="https://nasdaqbaltic.com/statistics/en/instrument/LV0000805349/security?date=2026-10-22" TargetMode="External"/><Relationship Id="rId33" Type="http://schemas.openxmlformats.org/officeDocument/2006/relationships/hyperlink" Target="https://nasdaqbaltic.com/market/upload/reports/latra/2026_q4_en_las.pdf#page=19" TargetMode="External"/><Relationship Id="rId34" Type="http://schemas.openxmlformats.org/officeDocument/2006/relationships/hyperlink" Target="https://nasdaqbaltic.com/market/upload/reports/latra/2026_q4_en_las.pdf#page=18" TargetMode="External"/><Relationship Id="rId35" Type="http://schemas.openxmlformats.org/officeDocument/2006/relationships/hyperlink" Target="https://nasdaqbaltic.com/market/upload/reports/latra/2026_q4_en_las.pdf#page=6" TargetMode="External"/><Relationship Id="rId36" Type="http://schemas.openxmlformats.org/officeDocument/2006/relationships/hyperlink" Target="https://news.google.com/rss/articles/CBMilgFBVV95cUxOTTF2aGhsTm1aWXpIdW5PcGdwc1FiV3JLTnFER0w2RlNoX0dXY0JVbjV1UUNLWV9FbE1VdzVyeVI3VlRCbEtkS01ZMlN0YW42cVBheUltdnlVNVZYSk1QcHBkUmhNT3BSQkd3WFZrR3FqemlyX05QRFNCRk1TYjhlbFI0dW8wWjZEMGRNcjNYeXo4cDBNR2c?oc=5" TargetMode="External"/><Relationship Id="rId37" Type="http://schemas.openxmlformats.org/officeDocument/2006/relationships/hyperlink" Target="https://nasdaqbaltic.com/market/upload/reports/latra/2026_q4_en_las.pdf#page=5" TargetMode="External"/><Relationship Id="rId38" Type="http://schemas.openxmlformats.org/officeDocument/2006/relationships/hyperlink" Target="https://sebgroup.com/sustainability/our-sustainability-strategy/policies" TargetMode="External"/><Relationship Id="rId39" Type="http://schemas.openxmlformats.org/officeDocument/2006/relationships/hyperlink" Target="https://nasdaqbaltic.com/market/upload/reports/latra/2026_esg_en.pdf#page=23" TargetMode="External"/><Relationship Id="rId40" Type="http://schemas.openxmlformats.org/officeDocument/2006/relationships/hyperlink" Target="https://sanctionssearch.ofac.treas.gov/" TargetMode="External"/><Relationship Id="rId41" Type="http://schemas.openxmlformats.org/officeDocument/2006/relationships/hyperlink" Target="https://www.sanctionsmap.eu/#/main" TargetMode="External"/><Relationship Id="rId42" Type="http://schemas.openxmlformats.org/officeDocument/2006/relationships/hyperlink" Target="https://nasdaqbaltic.com/market/upload/reports/latra/2026_esg_en.pdf#page=19" TargetMode="External"/><Relationship Id="rId43" Type="http://schemas.openxmlformats.org/officeDocument/2006/relationships/hyperlink" Target="https://nasdaqbaltic.com/market/upload/reports/latra/2026_esg_en.pdf#page=18" TargetMode="External"/><Relationship Id="rId44" Type="http://schemas.openxmlformats.org/officeDocument/2006/relationships/hyperlink" Target="https://nasdaqbaltic.com/market/upload/reports/latra/2026_esg_en.pdf#page=3" TargetMode="External"/><Relationship Id="rId45" Type="http://schemas.openxmlformats.org/officeDocument/2006/relationships/hyperlink" Target="https://nasdaqbaltic.com/market/upload/reports/latra/2026_esg_en.pdf#page=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