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7,5 %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mūsų skaičiavimas),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Žemos grūdų kainos:</w:t>
      </w:r>
      <w:r>
        <w:rPr>
          <w:b w:val="0"/>
        </w:rPr>
        <w:t xml:space="preserve"> grūdų kainos išliko žemos, o gamybos kaštai aukšti – pardavimo kainos gerokai žemesnės nei per ankstesnius penkerius metus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ES augintojų kaštai didesni nei konkuruojančių eksporto regionų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Oras:</w:t>
      </w:r>
      <w:r>
        <w:rPr>
          <w:b w:val="0"/>
        </w:rPr>
        <w:t xml:space="preserve"> per drėgna vasara ir ruduo apsunkino derliaus nuėmimą; neįprastai didelė dalis grūdų neatitiko maistinių reikalavimų ir parduota pašarams, tačiau bendras derlius buvo geresnis nei prognozuota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Rezultatas:</w:t>
      </w:r>
      <w:r>
        <w:rPr>
          <w:b w:val="0"/>
        </w:rPr>
        <w:t xml:space="preserve"> apyvarta 240 mln. EUR, pelnas 2,7 mln. EUR (1,1 % apyvartos); pelningumą slegia augantys verslo ir darbo kaštai Latvijoje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2026-08-02 – 2026-10-31: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