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4,952 %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2,42 %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0,5 %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3,612 %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144,6 mln. EUR (+7 %), reitingas Baa2 stabilus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6,9 %*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– mūsų skaičiavimas)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2026-08-22 stipri audra sukėlė plačius elektros tiekimo sutrikimus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1 566,1 mln. EUR (2024 m. – 1 703,6 mln.), pelnas 198,8 mln. EUR (273,7 mln., −74,8 mln.); FFO / grynoji skola 39 %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3 035,9 mln. EUR, turtas 5 259,6 mln. EUR – nuosavo kapitalo dalis 57,7 % (mūsų skaičiavimas); ROE 6,9 % (5,2 %)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6,9 %, FFO / grynoji skola 35 %, reitingas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2026-06-30 – 937 MW įrengta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su perviršiu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Patvirtintas 1 144 MW projektų portfelis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tikslas, finansuojamas žaliosiomis obligacijomis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−17 %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Šaltis kėlė pardavimus:</w:t>
      </w:r>
      <w:r>
        <w:rPr>
          <w:b w:val="0"/>
        </w:rPr>
        <w:t xml:space="preserve"> pajamos +11 % iki 941,8 mln. EUR dėl didesnių dujų, elektros ir šilumos pardavimų šaltą metų pradžią; EBITDA +5 % iki 284,6 mln. EUR – nauji saulės ir vėjo parkai, didesnė termofikacinių elektrinių gamyba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kainos:</w:t>
      </w:r>
      <w:r>
        <w:rPr>
          <w:b w:val="0"/>
        </w:rPr>
        <w:t xml:space="preserve"> Latvijoje vidutinė kaina 102,6 EUR/MWh (prieš metus 87,3); Šiaurės šalių sistemos kaina daugiau nei padvigubėjo dėl šalčio, didesnės paklausos ir mažesnių hidroresursų (22 TWh žemiau ilgalaikio vidurkio)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ir dujos:</w:t>
      </w:r>
      <w:r>
        <w:rPr>
          <w:b w:val="0"/>
        </w:rPr>
        <w:t xml:space="preserve"> Daugavos HE gamyba –4 % iki 1,6 TWh, nes upės prietaka 24 % mažesnė už ilgalaikį vidurkį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dujų TTF kaina vidutiniškai 40 EUR/MWh (–7 %), ES saugyklų užpildymas 38 % (prieš metus 46 %)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nauji vėjo ir saulės parkai bus paleidžiami 2026–2027 m.; juos užbaigus metinė gamyba padidės apie 2,2 TWh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2026-10-05 valdybos narys Māris Kuņickis palieka bendrovę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ir LMT:</w:t>
      </w:r>
      <w:r>
        <w:rPr>
          <w:b w:val="0"/>
        </w:rPr>
        <w:t xml:space="preserve"> 2026-10-22 rašyta, kad Latvenergo pasirengusi tęsti bendradarbiavimą Tet ir LMT dalių išpirkimo procese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Dujų kainos:</w:t>
      </w:r>
      <w:r>
        <w:rPr>
          <w:b w:val="0"/>
        </w:rPr>
        <w:t xml:space="preserve"> 2026-10-14 bendrovės analitikė įspėjo, kad gamtinės dujos tokios brangios nebuvo keletą metų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2026-08-02 – 2026-10-31: 20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"Latvenergo" un "Rīgas siltums" vienojušies par siltumenerģijas piegādi par samazinātu cenu apkures sezonā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"Elektrum" meita kļūst par "Latvenergo" ģimenes galvu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"Latvenergo stratēģiskais forums 2035"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Turpmāk «Latvenergo» vadošais zīmols būs «Elektrum»</w:t>
              </w:r>
            </w:hyperlink>
            <w:r>
              <w:rPr>
                <w:b w:val="0"/>
                <w:color w:val="667085"/>
                <w:sz w:val="15"/>
              </w:rPr>
              <w:t xml:space="preserve">   bb.lv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Dārgāki sūtījumi no Ķīnas, "Latvenergo" zīmola izmaiņas, "Alphabet" kritums. Aktuālais ekonomikā 29. oktobrī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Apkure Rīgā var kļūt par 30% dārgāka! “Latvenergo” un “Rīgas siltums” meklē veidus, kā cenu mazināt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Internets no Latvenergo: ko piedāvā jaunā sadarbība ar Tet un Biti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"Latvenergo" sāk piedāvāt interneta pakalpojumus sadarbībā ar "Tet" un "Bite Latvija"</w:t>
              </w:r>
            </w:hyperlink>
            <w:r>
              <w:rPr>
                <w:b w:val="0"/>
                <w:color w:val="667085"/>
                <w:sz w:val="15"/>
              </w:rPr>
              <w:t xml:space="preserve">   BauskasDzive.lv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ir naftos gavybos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Dvi Rygos termofikacinės elektrinės kūrenamos gamtinėmis dujomis (2025 m. – 34 % gamybos)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iškastinio kuro politika riboja anglį ir naftos bei dujų gavybą, ne dujinę gamybą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ar etikos pažeidimų su reikšmingu poveikiu 2024–2025 m. – 0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2020 m. pirkimų istorijoje KNAB baudžiamąją bylą nutraukė, pažeidimų nenustatyta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latvių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20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66 % elektros – iš atsinaujinančių šaltinių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– 54 balai, tarp 30 % geriausių pasaulio elektros įmonių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poveikio balas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obligacijos – žaliosios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m., neutrali elektros gamyba iki 2040 m.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ES taksonomija suderintos investicijos – 97 % (tikslas ≥80 %)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nelaimingų atsitikimų ir didelių taršos atvejų 2024–2025 m. – 0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ir iškastinio kuro politika dėl dujinių elektrinių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Emisijų mažinimo tikslai (2030 ir 2040 m.)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m. visų apimčių emisijos nepriklausomai patikrintos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energijos valdymas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atvejų – 0, sukčiavimo rizikos valdymo planas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nėra.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Absoliučios 1–3 apimties emisijos ataskaitos tekste nerastos.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aiški perėjimo prie atsinaujinančios energetikos strategija ir tvarkinga ESG praktika.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gamybos emisijų intensyvumas 0,100 t CO2/MWh 2025 m. (tikslas 0,06 iki 2030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−17 % nuo 2021 m.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97 %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Atsinaujinančių šaltinių dalis 66 %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Daugiausia hidroenergija, sparčiai auga vėjo ir saulės gamyba, aiškūs klimato tikslai; dujinės elektrinės lieka rezervu.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6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7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8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1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2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7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3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4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4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6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5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6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7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zwFBVV95cUxQV2tRbXFrTmFNaXNJY0VMWXdZT2dURWtHNHRUR2NuZEExRC1MS0pkelk2SEJxaDBFM281VFVXRGdDbm9UQVBaTWFFaFFad2MxOTZKZmhVeUllZHR2NFl6b2wzcmV5RllNMHVIVE5TQlVjT0FkNG1mdTlOMzBpSXc2bnZnRkZPQkhWZGdkWjMxbmNnYThzeFhzejJOWDdyOHhBLVlwRTdrV0xMRTRwU2lnbHBUWXI5RTYtM0dWVFlqZWJNNWxTWHpwQ1BxZ3ZCZjg?oc=5" TargetMode="External"/><Relationship Id="rId39" Type="http://schemas.openxmlformats.org/officeDocument/2006/relationships/hyperlink" Target="https://news.google.com/rss/articles/CBMingFBVV95cUxOLTZqRExlWkFrS09Oc3NZSTN3XzZpd0pkdWduWVNsY2h6MU9MemZ3SXptSlJEd1lCakw3aHp3ZVpwMFNSSjhxQlVfTFBhS09RV0h0VldUdHAtODIwaW5CMEhONFctYXVneUdFcFlSOXRFbENNNV8wSXBjMm9lVmFpWUlfU1diMnZkaExnQXNfaHNBcHJQSFBzWFRuN3JEUQ?oc=5" TargetMode="External"/><Relationship Id="rId40" Type="http://schemas.openxmlformats.org/officeDocument/2006/relationships/hyperlink" Target="https://news.google.com/rss/articles/CBMif0FVX3lxTE9TdmplVDRqN3ZPNFJHX0N3Wl8tTDJ5cGRJb2JKS3pMRzEzeDVWX1hIam9uT0lrWDhUZE1oeWNEbVlGT09IeWg3M24zOTNJOEdWQXhuYWNZb3FFeDRoYVdqRlpYa2h6RHM3OTJWUDZWUWMxZC1VLVA0czJDRW9qWnM?oc=5" TargetMode="External"/><Relationship Id="rId41" Type="http://schemas.openxmlformats.org/officeDocument/2006/relationships/hyperlink" Target="https://news.google.com/rss/articles/CBMipAFBVV95cUxPVF9ob1FQV21vYVBrdnFTYXM3TDF5YVhaQUNVa0NhLXQ5OWtLT2g1Ql92V19nbGVrZGlHV2tnYWdUdko3M2k4eHppa0xhOUJBT2tYMlFaZVVNdVFWeXdUSHJkdFlMX3NxTzBXeGxQMUFnLWE0WC1fQVF4bUE3VDcxX0VrY1FKTDJwODEzTVNyZ1RpSThjVkM4VGJ5VGItVHhIVi1YetIBpAFBVV95cUxPVF9ob1FQV21vYVBrdnFTYXM3TDF5YVhaQUNVa0NhLXQ5OWtLT2g1Ql92V19nbGVrZGlHV2tnYWdUdko3M2k4eHppa0xhOUJBT2tYMlFaZVVNdVFWeXdUSHJkdFlMX3NxTzBXeGxQMUFnLWE0WC1fQVF4bUE3VDcxX0VrY1FKTDJwODEzTVNyZ1RpSThjVkM4VGJ5VGItVHhIVi1Yeg?oc=5" TargetMode="External"/><Relationship Id="rId42" Type="http://schemas.openxmlformats.org/officeDocument/2006/relationships/hyperlink" Target="https://news.google.com/rss/articles/CBMi8wFBVV95cUxNYTFVSnlJUFRVeE1BcjJSRmxwVGRuTXowRTdWN3BqZmJSdW9YNFQ3T2tLaS1FQzQyaE5BSktHMFR6OXJIc1dUMm1ud3pnMWt1bHk4YWdHaExKLVZRbml2dmZ4dXNsMi1TMUhtcGlka3lGNmJSX2xDaEg4ZUVZN2Fnb2huMURIbl9jdmtNYVpPS0J5aVRZMGV5MGk0dVpHSG1RV0Y2SG44alJleXdDR0FoQzFBY09nYWNWM2JhLU5hMGFlM0kySVZ3X3VxbGdRbTJDN1h2TWgxREcxVEU3cDhpYTBoS2VLclJMMHZEdURUSWxxbWM?oc=5" TargetMode="External"/><Relationship Id="rId43" Type="http://schemas.openxmlformats.org/officeDocument/2006/relationships/hyperlink" Target="https://news.google.com/rss/articles/CBMirwFBVV95cUxNY0ItaXExVXdKY01GcU9CVHdES0dXM0swa2xXMFVVZ3pLVGFGdzltc2J2VmFVTUhiSzRmRVZGWDk4MWNqVGZsX2RuWWdHSEJ6MTRrTURBQW9nbXJXTWZpN01mVVU5c2poUmpUblRiWXdEUDRMVGx6amNMZEFMOXc0NFhSeUZmcWRUM1BHUG1aWHhIckk1dWZQLTFWeVhHNjl6UDhjcWpSbklkZjVuMjNF?oc=5" TargetMode="External"/><Relationship Id="rId44" Type="http://schemas.openxmlformats.org/officeDocument/2006/relationships/hyperlink" Target="https://news.google.com/rss/articles/CBMinAFBVV95cUxONXV4OEN1OWNqQ29vMzI5VWFjNTFEVDY2eGF0ak41bjV5VnVBYndabVhPUFIyWU83TnJnUzAzSGozeTMzMWI1b0dfWkE3YzZWWlJ2VnBBOHMwZGxZejNFTzY0SnJDOEM3a1VxT2tYa0pjTTlsZzk3RDd6cDJBUWloNlVVaTBhck1lTFBiSnlDeW1wRW9TcVpRT2o2czc?oc=5" TargetMode="External"/><Relationship Id="rId45" Type="http://schemas.openxmlformats.org/officeDocument/2006/relationships/hyperlink" Target="https://news.google.com/rss/articles/CBMiwAFBVV95cUxPRF8xMGZMamhTTlBPa1ZaWjM2cEdkaHVGYmhnNzE0amR2QlV3ZkJubWZBNHl0Y3ZweVBlaDU3WjF1TU1wLVBTWG14QmVqODQ1SDhpZFA1N2MzNWhMMlgtVThmcGl4UVdFUzNKdzVwTUVZNUF5cF94Q283X0FUcE1PeEtfc2VCYThobW5ES0lSeDdzcm5RUTBYS0VnVG1NS0JvRXBvWXAzTldHT211LU5Kc3dDVzdaWWZueVlrUldKZkw?oc=5" TargetMode="External"/><Relationship Id="rId46" Type="http://schemas.openxmlformats.org/officeDocument/2006/relationships/hyperlink" Target="https://webapp.sebgroup.com/mb/mblib.nsf/dld/80AF6A2E5F88CDC2C12586B1002E33C2?opendocument" TargetMode="External"/><Relationship Id="rId47" Type="http://schemas.openxmlformats.org/officeDocument/2006/relationships/hyperlink" Target="https://nasdaqbaltic.com/market/upload/reports/elek/2025_ar_en_con.pdf#page=29" TargetMode="External"/><Relationship Id="rId48" Type="http://schemas.openxmlformats.org/officeDocument/2006/relationships/hyperlink" Target="https://jauns.lv/raksts/zinas/407457-starp-latvenergo-koncerna-iepirkumu-uzvaretajiem-atrodami-vairaki-martinsona-motokluba-ziedotaji" TargetMode="External"/><Relationship Id="rId49" Type="http://schemas.openxmlformats.org/officeDocument/2006/relationships/hyperlink" Target="https://sanctionssearch.ofac.treas.gov/" TargetMode="External"/><Relationship Id="rId50" Type="http://schemas.openxmlformats.org/officeDocument/2006/relationships/hyperlink" Target="https://www.sanctionsmap.eu/#/main" TargetMode="External"/><Relationship Id="rId51" Type="http://schemas.openxmlformats.org/officeDocument/2006/relationships/hyperlink" Target="https://nasdaqbaltic.com/market/upload/reports/elek/2025_ar_en_con.pdf#page=31" TargetMode="External"/><Relationship Id="rId52" Type="http://schemas.openxmlformats.org/officeDocument/2006/relationships/hyperlink" Target="https://nasdaqbaltic.com/market/upload/reports/elek/2025_ar_en_con.pdf#page=26" TargetMode="External"/><Relationship Id="rId53" Type="http://schemas.openxmlformats.org/officeDocument/2006/relationships/hyperlink" Target="https://nasdaqbaltic.com/market/upload/reports/elek/2025_ar_en_con.pdf#page=28" TargetMode="External"/><Relationship Id="rId54" Type="http://schemas.openxmlformats.org/officeDocument/2006/relationships/hyperlink" Target="https://sebgroup.com/sustainability/our-sustainability-strategy/policies" TargetMode="External"/><Relationship Id="rId55" Type="http://schemas.openxmlformats.org/officeDocument/2006/relationships/hyperlink" Target="https://nasdaqbaltic.com/market/upload/reports/elek/2025_ar_en_con.pdf#page=10" TargetMode="External"/><Relationship Id="rId56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