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– mūsų skaičiavimas)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2026-08-02 – 2026-10-31: 43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Parduodamas „Luminor“: pirkėju tapo OTP Bank, sandorį jau patvirtino Europos Komisija</w:t>
              </w:r>
            </w:hyperlink>
            <w:r>
              <w:rPr>
                <w:b w:val="0"/>
                <w:color w:val="667085"/>
                <w:sz w:val="15"/>
              </w:rPr>
              <w:t xml:space="preserve">   77.lt  ·  dar 9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“Latvietim nav obligāti jābūt baltam!” “Luminor” galvenā ekonomista Strautiņa izteikumi sacēluši pamatīgu vētru</w:t>
              </w:r>
            </w:hyperlink>
            <w:r>
              <w:rPr>
                <w:b w:val="0"/>
                <w:color w:val="667085"/>
                <w:sz w:val="15"/>
              </w:rPr>
              <w:t xml:space="preserve">   LA.LV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„Luminor“ bankas informuoja apie darbo laiko pokyčius Vėlinių laikotarpiu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43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3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4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gwFBVV95cUxPS005WENVTUpnMXNiajg3M2k0LTNlRlNFZnF5dFVVc2lZMDFKU0ZYYWR2eVVmYkk1bzRJOWRQXzJQaWNYRkFIVlNOR2lYQ3ZEYnpkVlUyT2ZOenBVY2hVQ0hZM1FiQ3d4MlJLa2lzSndpd21pTFhzdUo5MERVTWx5dUx4OA?oc=5" TargetMode="External"/><Relationship Id="rId39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0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wgFBVV95cUxNQ3luRFZaZU1GQXdLQU9vdDVsNFhvaVJvc25rVVBQcFF2MmUxdjBldHRRRi1Rbm1YblJSRnY1RzFjTWRHTmRQTDJ1SllaQTdEWkxOQk1fcENKUjNPQ09IcUFWN2x1WjlldmJTOV9vWUNQWTVPQlc3QlhmcHBmTHhJYzh4clgzQTJBV2V1V1Vob0w5OFp2MVJ0M0ttOW0wYmZ6UnpIMWk4Tk4yZ3dyQmNsX2h0Xzh2SVFvVnF2eW00UGdyZw?oc=5" TargetMode="External"/><Relationship Id="rId44" Type="http://schemas.openxmlformats.org/officeDocument/2006/relationships/hyperlink" Target="https://news.google.com/rss/articles/CBMizwFBVV95cUxNUUZrdlI2X3FwNXZPYXo0azYxb0NZei02RVd3c2FuTXhtYV9NRzhZdmp5d2ZydWpzbU83WHozWlNjM09OTVltbkJrUU45ZE5oUWNyMHV1SUVDczNwbmpIWHRfVUVhUEhnSWJCNXVuLXF6UGlXYWt2ZEpkcFdscEV4UkpsSmNZalFtNjA0aVVUbTE4SWUwWVN5TjBLNUxWdTllckJsVHJTbDFlVkdhbTNPcURfTWxNOW5WWDV4Q1RUMlFQU1NlSTJFVFlRTU82UFU?oc=5" TargetMode="External"/><Relationship Id="rId45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sanctionssearch.ofac.treas.gov/" TargetMode="External"/><Relationship Id="rId49" Type="http://schemas.openxmlformats.org/officeDocument/2006/relationships/hyperlink" Target="https://www.sanctionsmap.eu/#/main" TargetMode="External"/><Relationship Id="rId50" Type="http://schemas.openxmlformats.org/officeDocument/2006/relationships/hyperlink" Target="https://luminor.lv/sites/default/files/docs/finansu_parskati/luminor_bank_annual_report_2025-lv.pdf#page=22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luminor.lv/sites/default/files/docs/finansu_parskati/luminor_bank_annual_report_2025-lv.pdf#page=18" TargetMode="External"/><Relationship Id="rId53" Type="http://schemas.openxmlformats.org/officeDocument/2006/relationships/hyperlink" Target="https://luminor.lv/sites/default/files/docs/finansu_parskati/luminor_bank_annual_report_2025-lv.pdf#page=23" TargetMode="External"/><Relationship Id="rId54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