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4,0 %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19,7 mln. EUR (+25 %), grynoji skola / EBITDA 2,6x, nuosavo kapitalo dalis 71 %, skolos sąlygos vykdomos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pajamos +14,7 % daugiausia dėl naujų vandentvarkos tarifų nuo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Nuotekų išvalyta 8,9 % mažiau dėl mažesnio kritulių kiekio, parduoto vandens +0,9 %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skola:</w:t>
      </w:r>
      <w:r>
        <w:rPr>
          <w:b w:val="0"/>
        </w:rPr>
        <w:t xml:space="preserve"> rekordinės 24,1 mln. EUR investicijos finansuotos skolintu kapitalu, todėl grynoji skola / EBITDA pakilo iki 2,6 karto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Kaštams įtakos gali turėti infliacija ir energijos kainos; Latvijos bankas 2026 m. infliaciją prognozuoja 3,6 %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Kita emisija:</w:t>
      </w:r>
      <w:r>
        <w:rPr>
          <w:b w:val="0"/>
        </w:rPr>
        <w:t xml:space="preserve"> iki 40 mln. EUR žaliųjų obligacijų planuojama 2026 m. IV ketv., įvertinus rinkos sąlygas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2026-08-02 – 2026-10-31: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