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8,0 %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Sąlygų (kovenantų) 2026-06-30 laikomasi, nuosavo kapitalo dalis 54,5 % (riba – 50 %)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16,6 %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Įrengta žalioji galia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Išleistų obligacijų balansinė vertė 59,0 mln. EUR, paskolos 6,2 mln. EUR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Pardavimo procesas pradėtas, sandorių dar nepaskelbta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pardavimų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Terminas praėjo, sandoris neužbaigtas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 (kovenantai):</w:t>
      </w:r>
      <w:r>
        <w:rPr>
          <w:b w:val="0"/>
        </w:rPr>
        <w:t xml:space="preserve"> nuosavo kapitalo dalis ≥50 % (yra 54,5 %, mūsų skaičiavimas), svertas ≤75 %, minimalus likvidumas 1,5 mln. EUR; 2026-06-30 laikomasi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 ir portfelis:</w:t>
      </w:r>
      <w:r>
        <w:rPr>
          <w:b w:val="0"/>
        </w:rPr>
        <w:t xml:space="preserve"> administracinės sąnaudos 2,2 mln. EUR (1,9 mln.), palūkanų sąnaudos 3,7 mln. EUR (4,0 mln.); investicinis turtas sumažėjo iki 138,4 mln. EUR (165,0 mln.) – parduota ir grąžinta 27,7 mln. EUR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rinka:</w:t>
      </w:r>
      <w:r>
        <w:rPr>
          <w:b w:val="0"/>
        </w:rPr>
        <w:t xml:space="preserve"> vadovybės vertinimu, dabartinės elektros rinkos sąlygos ir paklausa palaiko projektų ekonominį gyvybingumą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balansavimo (mFRR) rinkoje „Potentia Industriae“ uždirbo 1 356 tūkst. EUR, „Rokvėja“ – 850 tūkst. EUR (iki gegužės)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paskutiniai saulės projektai (apie 17 MW) prie tinklo bus prijungti 2026 m. gruodį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2026-07-28 – 2026-10-26: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 saulės, vėjo ir kaupimo projektai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„Tamsiai žalias“ fondas pagal SFDR 9 straipsnį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Investuoja į atsinaujinančią energiją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obligacijų emisijos – žaliosios obligacijos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Finansinė rizika (veiklos tęstinumas) aprašyta skiltyje „Investuotojui“.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Projektai ES / EEE su leidimais (pvz., Ekoelektra – visi statybos leidimai gauti)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nereikia: atsinaujinančios energijos fondas.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įrengta galia (317,9 MW) ir gamyba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SFDR 9 str. atsinaujinančios energijos fondas; rizika – finansinė, ne ESG.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