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7,125 %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3,875 %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(mūsų skaičiavimas)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(mūsų skaičiavimas)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 siaurėja:</w:t>
      </w:r>
      <w:r>
        <w:rPr>
          <w:b w:val="0"/>
        </w:rPr>
        <w:t xml:space="preserve"> grynosios palūkanų pajamos 89,5 mln. EUR (beveik nepakito), NIM 3,7 % (3,8 %) dėl mažesnio vidutinio Euribor, kurį kompensavo paskolų augimas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Išlaidos +5 % dėl konsultacijų, IT ir komunikacijos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Makro aplinka:</w:t>
      </w:r>
      <w:r>
        <w:rPr>
          <w:b w:val="0"/>
        </w:rPr>
        <w:t xml:space="preserve"> ECB birželį padidino indėlių normą 0,25 p. p. iki 2,25 %; rinkos nepaneigia tolesnio didinimo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m. BVP prognozės: Latvija 1,8 %, Lietuva 2,9 %, Estija 2,2 %; infliacija Lietuvoje 5,8 %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„aukštesnės ilgiau“ palūkanos ir toliau formuos Baltijos ekonomikų perspektyvą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2026-07-28 – 2026-10-26: 13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„Citadele“ bankas įspėja apie netikrus „WhatsApp“ profilius, apsimetančius banko darbuotojais</w:t>
              </w:r>
            </w:hyperlink>
            <w:r>
              <w:rPr>
                <w:b w:val="0"/>
                <w:color w:val="667085"/>
                <w:sz w:val="15"/>
              </w:rPr>
              <w:t xml:space="preserve">   Aukštaitijos internetinė naujienų agentūra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13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qAFBVV95cUxQT1N2SndMNFBHR2loaTBWeUVNc2w0REE2VHdsTnZPNTNmNVROZ2VjbmxMZVVKUG9MTkZubFpBcC1PSy1uZ3JjeWZYTGx4XzBGemZsWExLOWtSdG5wbklVZGFsNG51M3lhS2xfU1ZUVGFGcWJpQnFHNTA4U3I3bDU3UEVlTUdycDZ0bTBTMkxJdUZpWVJQY3hKMnJ1c05HbkdvRWZhZWNHd2s?oc=5" TargetMode="External"/><Relationship Id="rId25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6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7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8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