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I pusm. Hepsor patyrė 2,2 mln. EUR nuostolį, nes mažai butų perduota pirkėjams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Nuosavo kapitalo dalis sumažėjo iki 23,1 %, o obligacijų sąlyga reikalauja ne mažiau 20 %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Pardavimų sutartys auga (129 butai, +36 %, mūsų skaičiavimas), pajamos tikėtinos baigus projektus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-2,21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(mūsų skaičiavimas); pinigai 2,5 mln. EUR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35,4 mln. EUR (38,4 mln.), pelnas 1,0 mln. EUR (2,1 mln.), nuosavo kapitalo dalis 29,5 % (24,8 %)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Koreguota nuosavo kapitalo dalis (su subordinuotomis akcininkų paskolomis) – 37,9 %; I pusm. išmokėta 1,06 mln. EUR dividendų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III ketv. ataskaitos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Mažai parduotų butų:</w:t>
      </w:r>
      <w:r>
        <w:rPr>
          <w:b w:val="0"/>
        </w:rPr>
        <w:t xml:space="preserve"> I pusm. pajamos 6,2 mln. EUR (prieš metus 22,1 mln.) dėl mažo baigtų neparduotų butų likučio – perduoti 23 butai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bendroji marža 6,7 % (13,0 %), grynasis nuostolis 2,2 mln. EUR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komercinių projektų atsiperkamumą blogina augantys statybos kaštai ir brangesnis skolinimasis, o nuomos kainos nekyla; būsto paklausa stipriai auga, todėl Rygos Veidemos kvartalas perorientuojamas į būstą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statoma 513 butų (prieš metus 255) – pagrindas pajamų augimui ateityje; pirminiai pardavimai 129 butai už 25,7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plėtra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 diegianti inovatyvius inžinerinius sprendimus, didinančius pastatų energinį efektyvumą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tikslų ir tvarumo ataskaitos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ir statybos politika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Energiškai efektyvūs nauji pastatai ES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ir pereinamojo laikotarpio planas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mažas plėtotojas be rizikų ESG srityje.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 pastatai statomi energiškai efektyvūs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Tvarumo ataskaitos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