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24" w:color="12355B" w:space="0"/>
        </w:pBdr>
        <w:spacing w:before="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030"/>
        <w:gridCol w:w="2608"/>
      </w:tblGrid>
      <w:tr>
        <w:tc>
          <w:tcPr>
            <w:tcW w:type="dxa" w:w="7030"/>
          </w:tcPr>
          <w:p>
            <w:pPr>
              <w:spacing w:before="0" w:after="0"/>
            </w:pPr>
            <w:r>
              <w:rPr>
                <w:b/>
                <w:caps/>
                <w:color w:val="2A78D6"/>
                <w:sz w:val="16"/>
              </w:rPr>
              <w:t>Emitento apžvalga · 6M2026</w:t>
            </w:r>
          </w:p>
          <w:p>
            <w:pPr>
              <w:spacing w:before="40" w:after="0"/>
            </w:pPr>
            <w:r>
              <w:rPr>
                <w:b/>
                <w:color w:val="12355B"/>
                <w:sz w:val="52"/>
              </w:rPr>
              <w:t>Rīgas ūdens</w:t>
            </w:r>
          </w:p>
          <w:p>
            <w:pPr>
              <w:spacing w:before="40" w:after="0"/>
            </w:pPr>
            <w:r>
              <w:rPr>
                <w:b w:val="0"/>
                <w:color w:val="667085"/>
                <w:sz w:val="18"/>
              </w:rPr>
              <w:t>Latvija</w:t>
            </w:r>
          </w:p>
        </w:tc>
        <w:tc>
          <w:tcPr>
            <w:tcW w:type="dxa" w:w="2608"/>
          </w:tcPr>
          <w:p>
            <w:pPr>
              <w:spacing w:before="440" w:after="0"/>
              <w:jc w:val="right"/>
            </w:pPr>
            <w:r>
              <w:rPr>
                <w:b/>
                <w:color w:val="1B7F3B"/>
                <w:sz w:val="18"/>
                <w:shd w:val="clear" w:color="auto" w:fill="E3F3E8"/>
              </w:rPr>
              <w:t xml:space="preserve">  ●  TVARKINGA  </w:t>
            </w:r>
          </w:p>
        </w:tc>
      </w:tr>
    </w:tbl>
    <w:p>
      <w:pPr>
        <w:pBdr>
          <w:top w:val="single" w:sz="4" w:color="D5DCE4" w:space="0"/>
        </w:pBdr>
        <w:spacing w:before="120" w:after="200" w:line="120" w:lineRule="auto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60" w:type="dxa"/>
          <w:left w:w="220" w:type="dxa"/>
          <w:bottom w:w="160" w:type="dxa"/>
          <w:right w:w="220" w:type="dxa"/>
        </w:tblCellMar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Pagrindinė informacija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Emitento reitingas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Moody's A3, stable outlook (affirmed 2026)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Analizės data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2026-10-22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Kita ataskaita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9M 2026 interim report - 2026-11-27</w:t>
            </w:r>
          </w:p>
          <w:p>
            <w:pPr>
              <w:spacing w:before="80" w:after="0"/>
            </w:pPr>
            <w:r>
              <w:rPr>
                <w:b/>
                <w:caps/>
                <w:color w:val="667085"/>
                <w:sz w:val="14"/>
              </w:rPr>
              <w:t>Šalis</w:t>
            </w:r>
          </w:p>
          <w:p>
            <w:pPr>
              <w:spacing w:before="0" w:after="0"/>
            </w:pPr>
            <w:r>
              <w:rPr>
                <w:b w:val="0"/>
                <w:sz w:val="18"/>
              </w:rPr>
              <w:t>Latvija</w:t>
            </w:r>
          </w:p>
        </w:tc>
        <w:tc>
          <w:tcPr>
            <w:tcW w:type="dxa" w:w="4819"/>
            <w:tcBorders>
              <w:top w:val="single" w:sz="12" w:color="12355B" w:space="0"/>
              <w:left w:val="nil"/>
              <w:bottom w:val="nil"/>
              <w:right w:val="nil"/>
            </w:tcBorders>
            <w:shd w:val="clear" w:color="auto" w:fill="F4F6F9"/>
          </w:tcPr>
          <w:p>
            <w:pPr>
              <w:spacing w:before="0" w:after="40"/>
            </w:pPr>
            <w:r>
              <w:rPr>
                <w:b/>
                <w:color w:val="12355B"/>
                <w:sz w:val="18"/>
              </w:rPr>
              <w:t>Turimi vertybiniai popieriai</w:t>
            </w:r>
          </w:p>
          <w:p>
            <w:pPr>
              <w:spacing w:before="80" w:after="0"/>
            </w:pPr>
            <w:r>
              <w:rPr>
                <w:b/>
                <w:color w:val="1B243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LV0000104487  ·  4,0 % · 2030-06-04</w:t>
            </w:r>
          </w:p>
          <w:p>
            <w:pPr>
              <w:spacing w:before="0" w:after="0"/>
            </w:pPr>
            <w:r>
              <w:rPr>
                <w:b w:val="0"/>
                <w:color w:val="12355B"/>
                <w:sz w:val="15"/>
              </w:rPr>
              <w:t>atskiro nerasta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80" w:type="dxa"/>
          <w:left w:w="260" w:type="dxa"/>
          <w:bottom w:w="200" w:type="dxa"/>
          <w:right w:w="260" w:type="dxa"/>
        </w:tblCellMar>
        <w:tblLook w:firstColumn="1" w:firstRow="1" w:lastColumn="0" w:lastRow="0" w:noHBand="0" w:noVBand="1" w:val="04A0"/>
      </w:tblPr>
      <w:tblGrid>
        <w:gridCol w:w="9639"/>
      </w:tblGrid>
      <w:tr>
        <w:tc>
          <w:tcPr>
            <w:tcW w:type="dxa" w:w="9638"/>
            <w:tcBorders>
              <w:top w:val="nil"/>
              <w:left w:val="single" w:sz="24" w:color="1B7F3B" w:space="0"/>
              <w:bottom w:val="nil"/>
              <w:right w:val="nil"/>
            </w:tcBorders>
            <w:shd w:val="clear" w:color="auto" w:fill="E3F3E8"/>
          </w:tcPr>
          <w:p>
            <w:pPr>
              <w:spacing w:before="0" w:after="0" w:line="276" w:lineRule="auto"/>
            </w:pPr>
            <w:r>
              <w:rPr>
                <w:b/>
                <w:color w:val="1B2430"/>
                <w:sz w:val="21"/>
              </w:rPr>
              <w:t>Pozicija tvarkinga.</w:t>
            </w:r>
            <w:r>
              <w:rPr>
                <w:b w:val="0"/>
                <w:color w:val="1B2430"/>
                <w:sz w:val="21"/>
              </w:rPr>
              <w:t xml:space="preserve"> Rygos savivaldybei priklausanti vandens įmonė su Moody's A3 reitingu</w:t>
            </w:r>
            <w:hyperlink r:id="rId12">
              <w:r>
                <w:rPr>
                  <w:color w:val="2A78D6"/>
                  <w:vertAlign w:val="superscript"/>
                  <w:sz w:val="17"/>
                </w:rPr>
                <w:t xml:space="preserve">2</w:t>
              </w:r>
            </w:hyperlink>
            <w:r>
              <w:rPr>
                <w:b w:val="0"/>
                <w:color w:val="1B2430"/>
                <w:sz w:val="21"/>
              </w:rPr>
              <w:t>. I pusm. EBITDA 19,7 mln. EUR (+25 %), grynoji skola / EBITDA 2,6x, nuosavo kapitalo dalis 71 %, skolos sąlygos vykdomos</w:t>
            </w:r>
            <w:hyperlink r:id="rId14">
              <w:r>
                <w:rPr>
                  <w:color w:val="2A78D6"/>
                  <w:vertAlign w:val="superscript"/>
                  <w:sz w:val="17"/>
                </w:rPr>
                <w:t xml:space="preserve">3</w:t>
              </w:r>
            </w:hyperlink>
            <w:r>
              <w:rPr>
                <w:b w:val="0"/>
                <w:color w:val="1B2430"/>
                <w:sz w:val="21"/>
              </w:rPr>
              <w:t>.</w:t>
            </w:r>
          </w:p>
        </w:tc>
      </w:tr>
    </w:tbl>
    <w:p>
      <w:pPr>
        <w:spacing w:before="0" w:after="120"/>
      </w:pP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150" w:type="dxa"/>
          <w:left w:w="170" w:type="dxa"/>
          <w:bottom w:w="150" w:type="dxa"/>
          <w:right w:w="100" w:type="dxa"/>
        </w:tblCellMar>
        <w:tblLook w:firstColumn="1" w:firstRow="1" w:lastColumn="0" w:lastRow="0" w:noHBand="0" w:noVBand="1" w:val="04A0"/>
      </w:tblPr>
      <w:tblGrid>
        <w:gridCol w:w="2260"/>
        <w:gridCol w:w="198"/>
        <w:gridCol w:w="2260"/>
        <w:gridCol w:w="198"/>
        <w:gridCol w:w="2260"/>
        <w:gridCol w:w="198"/>
        <w:gridCol w:w="2260"/>
      </w:tblGrid>
      <w:tr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19,7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25,5 %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89,9</w:t>
            </w:r>
            <w:r>
              <w:rPr>
                <w:b w:val="0"/>
                <w:color w:val="667085"/>
                <w:sz w:val="18"/>
              </w:rPr>
              <w:t xml:space="preserve"> mln. EUR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42,2 %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Grynoji skola / EBITDA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2,6</w:t>
            </w:r>
            <w:r>
              <w:rPr>
                <w:b w:val="0"/>
                <w:color w:val="667085"/>
                <w:sz w:val="18"/>
              </w:rPr>
              <w:t xml:space="preserve"> x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▲ 0,5x vs 6M2025</w:t>
            </w:r>
          </w:p>
        </w:tc>
        <w:tc>
          <w:tcPr>
            <w:tcW w:type="dxa" w:w="198"/>
          </w:tcPr>
          <w:p/>
        </w:tc>
        <w:tc>
          <w:tcPr>
            <w:tcW w:type="dxa" w:w="2261"/>
            <w:tcBorders>
              <w:top w:val="single" w:sz="18" w:color="2A78D6" w:space="0"/>
              <w:left w:val="single" w:sz="4" w:color="D5DCE4" w:space="0"/>
              <w:bottom w:val="single" w:sz="4" w:color="D5DCE4" w:space="0"/>
              <w:right w:val="single" w:sz="4" w:color="D5DCE4" w:space="0"/>
            </w:tcBorders>
          </w:tcPr>
          <w:p>
            <w:pPr>
              <w:spacing w:before="0" w:after="60"/>
            </w:pPr>
            <w:r>
              <w:rPr>
                <w:b/>
                <w:caps/>
                <w:color w:val="667085"/>
                <w:sz w:val="14"/>
              </w:rPr>
              <w:t>Nuosavo kapitalo dalis</w:t>
            </w:r>
            <w:r>
              <w:rPr>
                <w:b w:val="0"/>
                <w:color w:val="667085"/>
                <w:sz w:val="14"/>
              </w:rPr>
              <w:t xml:space="preserve">  ·  6M2026</w:t>
            </w:r>
          </w:p>
          <w:p>
            <w:pPr>
              <w:spacing w:before="0" w:after="20"/>
            </w:pPr>
            <w:r>
              <w:rPr>
                <w:b/>
                <w:color w:val="12355B"/>
                <w:sz w:val="34"/>
              </w:rPr>
              <w:t>71,0</w:t>
            </w:r>
            <w:r>
              <w:rPr>
                <w:b w:val="0"/>
                <w:color w:val="667085"/>
                <w:sz w:val="18"/>
              </w:rPr>
              <w:t xml:space="preserve"> %</w:t>
            </w:r>
          </w:p>
          <w:p>
            <w:pPr>
              <w:spacing w:before="0" w:after="0"/>
            </w:pPr>
            <w:r>
              <w:rPr>
                <w:b w:val="0"/>
                <w:color w:val="667085"/>
                <w:sz w:val="15"/>
              </w:rPr>
              <w:t>▼ 1,4 p. p. vs 6M2025</w:t>
            </w:r>
          </w:p>
        </w:tc>
      </w:tr>
    </w:tbl>
    <w:p>
      <w:pPr>
        <w:spacing w:before="0" w:after="40"/>
      </w:pPr>
    </w:p>
    <w:p>
      <w:pPr>
        <w:keepNext/>
        <w:spacing w:before="200" w:after="100"/>
      </w:pPr>
      <w:r>
        <w:rPr>
          <w:b/>
          <w:color w:val="12355B"/>
          <w:sz w:val="26"/>
        </w:rPr>
        <w:t>Trumpa santrauka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Rezultatai gerėja:</w:t>
      </w:r>
      <w:r>
        <w:rPr>
          <w:b w:val="0"/>
        </w:rPr>
        <w:t xml:space="preserve"> I pusm. pajamos 45,4 mln. EUR (+15 %), EBITDA 19,7 mln. EUR (15,7 mln.), grynasis pelnas 4,3 mln. EUR (0,5 mln.); tarifai pakelti nuo 2025-12-01</w:t>
      </w:r>
      <w:hyperlink r:id="rId15">
        <w:r>
          <w:rPr>
            <w:color w:val="2A78D6"/>
            <w:vertAlign w:val="superscript"/>
            <w:sz w:val="17"/>
          </w:rPr>
          <w:t xml:space="preserve">4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 auga:</w:t>
      </w:r>
      <w:r>
        <w:rPr>
          <w:b w:val="0"/>
        </w:rPr>
        <w:t xml:space="preserve"> investicijos 24,1 mln. EUR per pusmetį, grynoji skola 89,9 mln. EUR, grynoji skola / EBITDA 2,6x (2,1x); 2025–2028 m. investicijų programa – 235 mln. EUR</w:t>
      </w:r>
      <w:hyperlink r:id="rId16">
        <w:r>
          <w:rPr>
            <w:color w:val="2A78D6"/>
            <w:vertAlign w:val="superscript"/>
            <w:sz w:val="17"/>
          </w:rPr>
          <w:t xml:space="preserve">5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Skolos sąlygos vykdomos:</w:t>
      </w:r>
      <w:r>
        <w:rPr>
          <w:b w:val="0"/>
        </w:rPr>
        <w:t xml:space="preserve"> DSCR 3,9 (tikslas 2,0), palūkanų padengimas 14,2</w:t>
      </w:r>
      <w:hyperlink r:id="rId14">
        <w:r>
          <w:rPr>
            <w:color w:val="2A78D6"/>
            <w:vertAlign w:val="superscript"/>
            <w:sz w:val="17"/>
          </w:rPr>
          <w:t xml:space="preserve">3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Daugiau finansavimo:</w:t>
      </w:r>
      <w:r>
        <w:rPr>
          <w:b w:val="0"/>
        </w:rPr>
        <w:t xml:space="preserve"> patvirtintas naujas prospektas iki 40 mln. EUR kitai obligacijų daliai (planuojama IV ketv.), pasirašyta 50 mln. EUR NIB kredito linija; reguliuotojas nuo 2027 m. padidino kapitalo grąžos normą iki 6,28 %</w:t>
      </w:r>
      <w:hyperlink r:id="rId12">
        <w:r>
          <w:rPr>
            <w:color w:val="2A78D6"/>
            <w:vertAlign w:val="superscript"/>
            <w:sz w:val="17"/>
          </w:rPr>
          <w:t xml:space="preserve">6</w:t>
        </w:r>
      </w:hyperlink>
      <w:r>
        <w:rPr>
          <w:color w:val="2A78D6"/>
          <w:vertAlign w:val="superscript"/>
        </w:rPr>
        <w:t>,</w:t>
      </w:r>
      <w:hyperlink r:id="rId17">
        <w:r>
          <w:rPr>
            <w:color w:val="2A78D6"/>
            <w:vertAlign w:val="superscript"/>
            <w:sz w:val="17"/>
          </w:rPr>
          <w:t xml:space="preserve">7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01</w:t>
        <w:tab/>
      </w:r>
      <w:r>
        <w:rPr>
          <w:b/>
          <w:color w:val="12355B"/>
          <w:sz w:val="28"/>
        </w:rPr>
        <w:t>Turimos priemonės ir ISIN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1457"/>
        <w:gridCol w:w="2241"/>
        <w:gridCol w:w="1064"/>
        <w:gridCol w:w="1120"/>
        <w:gridCol w:w="1569"/>
        <w:gridCol w:w="2185"/>
      </w:tblGrid>
      <w:tr>
        <w:tc>
          <w:tcPr>
            <w:tcW w:type="dxa" w:w="14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ISIN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Priemonė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Kuponas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Išpirkimas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Emisijos reitingas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Pastaba</w:t>
            </w:r>
          </w:p>
        </w:tc>
      </w:tr>
      <w:tr>
        <w:tc>
          <w:tcPr>
            <w:tcW w:type="dxa" w:w="14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LV0000104487</w:t>
            </w:r>
          </w:p>
        </w:tc>
        <w:tc>
          <w:tcPr>
            <w:tcW w:type="dxa" w:w="224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Rīgas ūdens 4% green bond 2030</w:t>
            </w:r>
            <w:r>
              <w:t xml:space="preserve"> </w:t>
              <w:drawing>
                <wp:inline xmlns:a="http://schemas.openxmlformats.org/drawingml/2006/main" xmlns:pic="http://schemas.openxmlformats.org/drawingml/2006/picture">
                  <wp:extent cx="91757" cy="91757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ea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757" cy="9175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color w:val="1B7F3B"/>
                <w:sz w:val="14"/>
              </w:rPr>
              <w:t xml:space="preserve"> Žalioji obligacija</w:t>
            </w:r>
          </w:p>
        </w:tc>
        <w:tc>
          <w:tcPr>
            <w:tcW w:type="dxa" w:w="106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4,0 %</w:t>
            </w:r>
          </w:p>
        </w:tc>
        <w:tc>
          <w:tcPr>
            <w:tcW w:type="dxa" w:w="112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2030-06-04</w:t>
            </w:r>
          </w:p>
        </w:tc>
        <w:tc>
          <w:tcPr>
            <w:tcW w:type="dxa" w:w="1569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atskiro nerasta</w:t>
            </w:r>
          </w:p>
        </w:tc>
        <w:tc>
          <w:tcPr>
            <w:tcW w:type="dxa" w:w="218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 Green Bond (EuGB) standard, first tranche of a EUR 60m programme; quarterly coupons; listed 2025-06-05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02</w:t>
        <w:tab/>
      </w:r>
      <w:r>
        <w:rPr>
          <w:b/>
          <w:color w:val="12355B"/>
          <w:sz w:val="28"/>
        </w:rPr>
        <w:t>Pagrindiniai rodikliai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864"/>
        <w:gridCol w:w="1156"/>
        <w:gridCol w:w="1156"/>
        <w:gridCol w:w="1156"/>
        <w:gridCol w:w="1156"/>
        <w:gridCol w:w="2148"/>
      </w:tblGrid>
      <w:tr>
        <w:tc>
          <w:tcPr>
            <w:tcW w:type="dxa" w:w="286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Rodiklis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FY2024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FY2025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6M2025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6M2026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Pajamos,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76,3*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80,3*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39,6*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45,4*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14,6 %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EBITDA,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25,9*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31,0*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19,7*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25,5 %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Grynasis pelnas,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-18,3*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0,5*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4,3*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3,8 EURm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Investicijos,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35,6*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48,5*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14,6*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24,1*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color w:val="5F6B7A"/>
                <w:sz w:val="17"/>
              </w:rPr>
              <w:t>▲ 65,1 %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skola, mln. EUR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55,7*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73,9*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63,2*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89,9*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42,2 %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Grynoji skola / EBITDA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2,6x*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▲ 0,5x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Nuosavo kapitalo dalis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5">
              <w:r>
                <w:rPr>
                  <w:color w:val="2A78D6"/>
                  <w:vertAlign w:val="superscript"/>
                  <w:sz w:val="14"/>
                </w:rPr>
                <w:t xml:space="preserve">9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74,5 %*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70,7 %*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72,4 %*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71,0 %*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B42318"/>
                <w:sz w:val="17"/>
              </w:rPr>
              <w:t>▼ 1,4 p. p. vs 6M2025</w:t>
            </w:r>
          </w:p>
        </w:tc>
      </w:tr>
      <w:tr>
        <w:tc>
          <w:tcPr>
            <w:tcW w:type="dxa" w:w="286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Skolos aptarnavimo koeficientas (DSCR)</w:t>
            </w:r>
            <w:hyperlink r:id="rId18">
              <w:r>
                <w:rPr>
                  <w:color w:val="2A78D6"/>
                  <w:vertAlign w:val="superscript"/>
                  <w:sz w:val="14"/>
                </w:rPr>
                <w:t xml:space="preserve">8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3,7x*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157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  <w:jc w:val="right"/>
            </w:pPr>
            <w:r>
              <w:rPr>
                <w:b/>
                <w:sz w:val="17"/>
              </w:rPr>
              <w:t>3,9x*</w:t>
            </w:r>
          </w:p>
        </w:tc>
        <w:tc>
          <w:tcPr>
            <w:tcW w:type="dxa" w:w="214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olor w:val="1B7F3B"/>
                <w:sz w:val="17"/>
              </w:rPr>
              <w:t>▲ 0,2x vs FY2025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Spalvos: žalias pokytis – rodiklis gerėja, raudonas – blogėja. Paskutinio laikotarpio langelio fonas: žalias – geras lygis, geltonas – vidutinis, raudonas – silpnas (vidiniai orientyrai, config/metric_rules.yaml).</w:t>
      </w:r>
    </w:p>
    <w:p>
      <w:pPr>
        <w:spacing w:before="40" w:after="60"/>
      </w:pPr>
      <w:r>
        <w:rPr>
          <w:b w:val="0"/>
          <w:color w:val="667085"/>
          <w:sz w:val="16"/>
        </w:rPr>
        <w:t>* – paimta iš ataskaitos santraukos;  ᶜ – mūsų skaičiavimas. Mažas numeris prie teksto – nuoroda į šaltinį (paspaudus atsidaro dokumentas reikiamame puslapyje).</w:t>
      </w:r>
    </w:p>
    <w:p>
      <w:r>
        <w:drawing>
          <wp:inline xmlns:a="http://schemas.openxmlformats.org/drawingml/2006/main" xmlns:pic="http://schemas.openxmlformats.org/drawingml/2006/picture">
            <wp:extent cx="6120000" cy="171389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gas-udens_lt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7138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03</w:t>
        <w:tab/>
      </w:r>
      <w:r>
        <w:rPr>
          <w:b/>
          <w:color w:val="12355B"/>
          <w:sz w:val="28"/>
        </w:rPr>
        <w:t>Veiklos apžvalga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Paslaugų sutartis su Rygos miestu galioja iki 2029-07-23; tarifus tvirtina Viešųjų paslaugų reguliavimo komisija (vanduo 1,41 EUR/m³, nuotekos 1,26 EUR/m³, valymas 0,40 EUR/m³ be PVM)</w:t>
      </w:r>
      <w:hyperlink r:id="rId20">
        <w:r>
          <w:rPr>
            <w:color w:val="2A78D6"/>
            <w:vertAlign w:val="superscript"/>
            <w:sz w:val="17"/>
          </w:rPr>
          <w:t xml:space="preserve">11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2026-03-25 Rygos taryba nusprendė išlaikyti tiesioginę įmonės nuosavybę</w:t>
      </w:r>
      <w:hyperlink r:id="rId20">
        <w:r>
          <w:rPr>
            <w:color w:val="2A78D6"/>
            <w:vertAlign w:val="superscript"/>
            <w:sz w:val="17"/>
          </w:rPr>
          <w:t xml:space="preserve">12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04</w:t>
        <w:tab/>
      </w:r>
      <w:r>
        <w:rPr>
          <w:b/>
          <w:color w:val="12355B"/>
          <w:sz w:val="28"/>
        </w:rPr>
        <w:t>Finansai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2025 m. pajamos 80,3 mln. EUR, EBITDA 31,0 mln. EUR, pelnas 0,6 mln. EUR; 2024 m. nuostolis 18,3 mln. EUR dėl turto perkainojimo</w:t>
      </w:r>
      <w:hyperlink r:id="rId18">
        <w:r>
          <w:rPr>
            <w:color w:val="2A78D6"/>
            <w:vertAlign w:val="superscript"/>
            <w:sz w:val="17"/>
          </w:rPr>
          <w:t xml:space="preserve">8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 w:val="0"/>
        </w:rPr>
        <w:t>Nuosavas kapitalas 536,3 mln. EUR, turtas 755,3 mln. EUR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05</w:t>
        <w:tab/>
      </w:r>
      <w:r>
        <w:rPr>
          <w:b/>
          <w:color w:val="12355B"/>
          <w:sz w:val="28"/>
        </w:rPr>
        <w:t>Ankstesni planai ir rezultatai</w:t>
      </w:r>
    </w:p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2577"/>
        <w:gridCol w:w="2577"/>
        <w:gridCol w:w="3138"/>
        <w:gridCol w:w="1344"/>
      </w:tblGrid>
      <w:tr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Planas / tikslas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Rezultatas</w:t>
            </w:r>
          </w:p>
        </w:tc>
        <w:tc>
          <w:tcPr>
            <w:tcW w:type="dxa" w:w="3138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Kas pasikeitė ir kodėl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  <w:t>Būsena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Investicijų programa 2025–2028 – 235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2026 m. viduryje panaudota 30,88 %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 pagal planą</w:t>
            </w:r>
            <w:hyperlink r:id="rId16">
              <w:r>
                <w:rPr>
                  <w:color w:val="2A78D6"/>
                  <w:vertAlign w:val="superscript"/>
                  <w:sz w:val="14"/>
                </w:rPr>
                <w:t xml:space="preserve">13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Žaliųjų obligacijų programa iki 60 mln. EUR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Išleista 20 mln. EUR (2025 m.); kita dalis iki 40 mln. EUR planuojama IV ketv. 2026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color w:val="2A78D6"/>
                <w:vertAlign w:val="superscript"/>
              </w:rPr>
              <w:t>,</w:t>
            </w:r>
            <w:hyperlink r:id="rId12">
              <w:r>
                <w:rPr>
                  <w:color w:val="2A78D6"/>
                  <w:vertAlign w:val="superscript"/>
                  <w:sz w:val="14"/>
                </w:rPr>
                <w:t xml:space="preserve">1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Vykdoma: 2025 m. emisijos paklausa – 228 %</w:t>
            </w:r>
            <w:hyperlink r:id="rId21">
              <w:r>
                <w:rPr>
                  <w:color w:val="2A78D6"/>
                  <w:vertAlign w:val="superscript"/>
                  <w:sz w:val="14"/>
                </w:rPr>
                <w:t xml:space="preserve">14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AF1F8"/>
          </w:tcPr>
          <w:p>
            <w:pPr>
              <w:spacing w:before="0" w:after="0"/>
            </w:pPr>
            <w:r>
              <w:rPr>
                <w:b/>
                <w:sz w:val="17"/>
              </w:rPr>
              <w:t>Dar vykdoma</w:t>
            </w:r>
          </w:p>
        </w:tc>
      </w:tr>
      <w:tr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DSCR ne mažesnis nei 2,0 (2026 m. tikslas)</w:t>
            </w:r>
          </w:p>
        </w:tc>
        <w:tc>
          <w:tcPr>
            <w:tcW w:type="dxa" w:w="257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6M 2026 – 3,9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</w:p>
        </w:tc>
        <w:tc>
          <w:tcPr>
            <w:tcW w:type="dxa" w:w="3138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Įvykdyta</w:t>
            </w:r>
            <w:hyperlink r:id="rId14">
              <w:r>
                <w:rPr>
                  <w:color w:val="2A78D6"/>
                  <w:vertAlign w:val="superscript"/>
                  <w:sz w:val="14"/>
                </w:rPr>
                <w:t xml:space="preserve">10</w:t>
              </w:r>
            </w:hyperlink>
            <w:r>
              <w:rPr>
                <w:b w:val="0"/>
                <w:sz w:val="17"/>
              </w:rPr>
              <w:t>.</w:t>
            </w:r>
          </w:p>
        </w:tc>
        <w:tc>
          <w:tcPr>
            <w:tcW w:type="dxa" w:w="1345"/>
            <w:tcBorders>
              <w:top w:val="nil"/>
              <w:left w:val="nil"/>
              <w:bottom w:val="single" w:sz="4" w:color="E6EAF0" w:space="0"/>
              <w:right w:val="nil"/>
            </w:tcBorders>
            <w:shd w:val="clear" w:color="auto" w:fill="E3F3E8"/>
          </w:tcPr>
          <w:p>
            <w:pPr>
              <w:spacing w:before="0" w:after="0"/>
            </w:pPr>
            <w:r>
              <w:rPr>
                <w:b/>
                <w:sz w:val="17"/>
              </w:rPr>
              <w:t>Įvykdyta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06</w:t>
        <w:tab/>
      </w:r>
      <w:r>
        <w:rPr>
          <w:b/>
          <w:color w:val="12355B"/>
          <w:sz w:val="28"/>
        </w:rPr>
        <w:t>Informacija investuotojui ir išvados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Turima priemonė:</w:t>
      </w:r>
      <w:r>
        <w:rPr>
          <w:b w:val="0"/>
        </w:rPr>
        <w:t xml:space="preserve"> 4 % žalioji obligacija (ES žaliųjų obligacijų standartas), 20 mln. EUR, kuponai kas ketvirtį, išpirkimas 2030-06-04</w:t>
      </w:r>
      <w:hyperlink r:id="rId21">
        <w:r>
          <w:rPr>
            <w:color w:val="2A78D6"/>
            <w:vertAlign w:val="superscript"/>
            <w:sz w:val="17"/>
          </w:rPr>
          <w:t xml:space="preserve">15</w:t>
        </w:r>
      </w:hyperlink>
      <w:r>
        <w:rPr>
          <w:b w:val="0"/>
        </w:rPr>
        <w:t>. Visos lėšos panaudotos ES taksonomiją atitinkantiems projektams (Sustainable Fitch patikra)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Kredito kokybė:</w:t>
      </w:r>
      <w:r>
        <w:rPr>
          <w:b w:val="0"/>
        </w:rPr>
        <w:t xml:space="preserve"> Moody's A3, savivaldybės nuosavybė, reguliuojami tarifai ir didelė nuosavo kapitalo dalis</w:t>
      </w:r>
      <w:hyperlink r:id="rId12">
        <w:r>
          <w:rPr>
            <w:color w:val="2A78D6"/>
            <w:vertAlign w:val="superscript"/>
            <w:sz w:val="17"/>
          </w:rPr>
          <w:t xml:space="preserve">16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Išvada:</w:t>
      </w:r>
      <w:r>
        <w:rPr>
          <w:b w:val="0"/>
        </w:rPr>
        <w:t xml:space="preserve"> maža rizika; skola auga dėl investicijų, bet rodikliai gerokai viršija sutartines ribas.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07</w:t>
        <w:tab/>
      </w:r>
      <w:r>
        <w:rPr>
          <w:b/>
          <w:color w:val="12355B"/>
          <w:sz w:val="28"/>
        </w:rPr>
        <w:t>Rinka ir aplinka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Tarifai:</w:t>
      </w:r>
      <w:r>
        <w:rPr>
          <w:b w:val="0"/>
        </w:rPr>
        <w:t xml:space="preserve"> pajamos +14,7 % daugiausia dėl naujų vandentvarkos tarifų nuo 2025-12-01</w:t>
      </w:r>
      <w:hyperlink r:id="rId15">
        <w:r>
          <w:rPr>
            <w:color w:val="2A78D6"/>
            <w:vertAlign w:val="superscript"/>
            <w:sz w:val="17"/>
          </w:rPr>
          <w:t xml:space="preserve">9</w:t>
        </w:r>
      </w:hyperlink>
      <w:r>
        <w:rPr>
          <w:b w:val="0"/>
        </w:rPr>
        <w:t>. Nuotekų išvalyta 8,9 % mažiau dėl mažesnio kritulių kiekio, parduoto vandens +0,9 %</w:t>
      </w:r>
      <w:hyperlink r:id="rId22">
        <w:r>
          <w:rPr>
            <w:color w:val="2A78D6"/>
            <w:vertAlign w:val="superscript"/>
            <w:sz w:val="17"/>
          </w:rPr>
          <w:t xml:space="preserve">17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Investicijos ir skola:</w:t>
      </w:r>
      <w:r>
        <w:rPr>
          <w:b w:val="0"/>
        </w:rPr>
        <w:t xml:space="preserve"> rekordinės 24,1 mln. EUR investicijos finansuotos skolintu kapitalu, todėl grynoji skola / EBITDA pakilo iki 2,6 karto</w:t>
      </w:r>
      <w:hyperlink r:id="rId15">
        <w:r>
          <w:rPr>
            <w:color w:val="2A78D6"/>
            <w:vertAlign w:val="superscript"/>
            <w:sz w:val="17"/>
          </w:rPr>
          <w:t xml:space="preserve">18</w:t>
        </w:r>
      </w:hyperlink>
      <w:r>
        <w:rPr>
          <w:b w:val="0"/>
        </w:rPr>
        <w:t>. Kaštams įtakos gali turėti infliacija ir energijos kainos; Latvijos bankas 2026 m. infliaciją prognozuoja 3,6 %</w:t>
      </w:r>
      <w:hyperlink r:id="rId23">
        <w:r>
          <w:rPr>
            <w:color w:val="2A78D6"/>
            <w:vertAlign w:val="superscript"/>
            <w:sz w:val="17"/>
          </w:rPr>
          <w:t xml:space="preserve">19</w:t>
        </w:r>
      </w:hyperlink>
      <w:r>
        <w:rPr>
          <w:b w:val="0"/>
        </w:rPr>
        <w:t>.</w:t>
      </w:r>
    </w:p>
    <w:p>
      <w:pPr>
        <w:tabs>
          <w:tab w:pos="255" w:val="left"/>
        </w:tabs>
        <w:spacing w:before="0" w:after="80"/>
        <w:ind w:left="255" w:hanging="255"/>
      </w:pPr>
      <w:r>
        <w:rPr>
          <w:b/>
          <w:color w:val="2A78D6"/>
          <w:sz w:val="20"/>
        </w:rPr>
        <w:t>▪</w:t>
        <w:tab/>
      </w:r>
      <w:r>
        <w:rPr>
          <w:b/>
        </w:rPr>
        <w:t>Kita emisija:</w:t>
      </w:r>
      <w:r>
        <w:rPr>
          <w:b w:val="0"/>
        </w:rPr>
        <w:t xml:space="preserve"> iki 40 mln. EUR žaliųjų obligacijų planuojama 2026 m. IV ketv., įvertinus rinkos sąlygas</w:t>
      </w:r>
      <w:hyperlink r:id="rId12">
        <w:r>
          <w:rPr>
            <w:color w:val="2A78D6"/>
            <w:vertAlign w:val="superscript"/>
            <w:sz w:val="17"/>
          </w:rPr>
          <w:t xml:space="preserve">1</w:t>
        </w:r>
      </w:hyperlink>
      <w:r>
        <w:rPr>
          <w:b w:val="0"/>
        </w:rPr>
        <w:t>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70" w:type="dxa"/>
          <w:left w:w="100" w:type="dxa"/>
          <w:bottom w:w="70" w:type="dxa"/>
          <w:right w:w="100" w:type="dxa"/>
        </w:tblCellMar>
        <w:tblLook w:firstColumn="1" w:firstRow="1" w:lastColumn="0" w:lastRow="0" w:noHBand="0" w:noVBand="1" w:val="04A0"/>
      </w:tblPr>
      <w:tblGrid>
        <w:gridCol w:w="3515"/>
        <w:gridCol w:w="1814"/>
        <w:gridCol w:w="1360"/>
        <w:gridCol w:w="1360"/>
        <w:gridCol w:w="1587"/>
      </w:tblGrid>
      <w:tr>
        <w:tc>
          <w:tcPr>
            <w:tcW w:type="dxa" w:w="3515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aps/>
                <w:color w:val="667085"/>
                <w:sz w:val="14"/>
              </w:rPr>
            </w:r>
          </w:p>
        </w:tc>
        <w:tc>
          <w:tcPr>
            <w:tcW w:type="dxa" w:w="1814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Dabar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3 mėn.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Prieš 12 mėn.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8" w:color="12355B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/>
                <w:caps/>
                <w:color w:val="667085"/>
                <w:sz w:val="14"/>
              </w:rPr>
              <w:t>Pokytis per 12 mėn.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ECB indėlių palūkanų norma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2,50 %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2,25 %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–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3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2,64 %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2,34 %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2,03 %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0,61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6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2,92 %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2,60 %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0,82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12 mėn. Euribor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3,25 % (2026-09)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2,80 %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2,17 %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1,08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AAA vyriausybių 10 m. pajamingumas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3,37 % (2026-10)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3,23 %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2,72 %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▲ 0,65 p. p.</w:t>
            </w:r>
          </w:p>
        </w:tc>
      </w:tr>
      <w:tr>
        <w:tc>
          <w:tcPr>
            <w:tcW w:type="dxa" w:w="3515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sz w:val="17"/>
              </w:rPr>
              <w:t>Euro zonos infliacija (SVKI, metinė)</w:t>
            </w:r>
          </w:p>
        </w:tc>
        <w:tc>
          <w:tcPr>
            <w:tcW w:type="dxa" w:w="1814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1,90 % (2025-12)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2,20 %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2,40 %</w:t>
            </w:r>
          </w:p>
        </w:tc>
        <w:tc>
          <w:tcPr>
            <w:tcW w:type="dxa" w:w="1587"/>
            <w:tcBorders>
              <w:top w:val="nil"/>
              <w:left w:val="nil"/>
              <w:bottom w:val="single" w:sz="4" w:color="E6EAF0" w:space="0"/>
              <w:right w:val="nil"/>
            </w:tcBorders>
          </w:tcPr>
          <w:p>
            <w:pPr>
              <w:spacing w:before="0" w:after="0"/>
              <w:jc w:val="right"/>
            </w:pPr>
            <w:r>
              <w:rPr>
                <w:b w:val="0"/>
                <w:sz w:val="17"/>
              </w:rPr>
              <w:t>▼ 0,50 p. p.</w:t>
            </w:r>
          </w:p>
        </w:tc>
      </w:tr>
    </w:tbl>
    <w:p>
      <w:pPr>
        <w:spacing w:before="0" w:after="40"/>
      </w:pPr>
    </w:p>
    <w:p>
      <w:pPr>
        <w:spacing w:before="40" w:after="60"/>
      </w:pPr>
      <w:r>
        <w:rPr>
          <w:b w:val="0"/>
          <w:color w:val="667085"/>
          <w:sz w:val="16"/>
        </w:rPr>
        <w:t>Euro zonos palūkanos ir infliacija (ECB duomenys, mėnesio pabaigos reikšmė; Euribor ir infliacija – mėnesio vidurkis). Svarbu kintamų palūkanų ir perkainojamoms (reset) obligacijoms bei refinansavimo kaštams.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08</w:t>
        <w:tab/>
      </w:r>
      <w:r>
        <w:rPr>
          <w:b/>
          <w:color w:val="12355B"/>
          <w:sz w:val="28"/>
        </w:rPr>
        <w:t>Ką rašo spauda</w:t>
      </w:r>
    </w:p>
    <w:p>
      <w:pPr>
        <w:spacing w:before="40" w:after="60"/>
      </w:pPr>
      <w:r>
        <w:rPr>
          <w:b w:val="0"/>
          <w:color w:val="667085"/>
          <w:sz w:val="18"/>
        </w:rPr>
        <w:t>Automatinė naujienų paieška (Google News, LV), 2026-07-28 – 2026-10-26: 3 pranešimų.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80" w:type="dxa"/>
          <w:left w:w="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20"/>
        <w:gridCol w:w="1360"/>
        <w:gridCol w:w="7257"/>
      </w:tblGrid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2026-10-16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4">
              <w:r>
                <w:rPr>
                  <w:color w:val="1B2430"/>
                  <w:sz w:val="18"/>
                </w:rPr>
                <w:t xml:space="preserve">Svarīgs paziņojums no "Rīgas ūdens"</w:t>
              </w:r>
            </w:hyperlink>
            <w:r>
              <w:rPr>
                <w:b w:val="0"/>
                <w:color w:val="667085"/>
                <w:sz w:val="15"/>
              </w:rPr>
              <w:t xml:space="preserve">   NRA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2026-09-28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5">
              <w:r>
                <w:rPr>
                  <w:color w:val="1B2430"/>
                  <w:sz w:val="18"/>
                </w:rPr>
                <w:t xml:space="preserve">"Rīgas ūdens" veiks vērienīgus skalošanas darbus: kurās apkaimēs jārēķinās ar ūdens duļķainību un pārtraukumiem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  <w:tr>
        <w:tc>
          <w:tcPr>
            <w:tcW w:type="dxa" w:w="102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 w:val="0"/>
                <w:color w:val="1B2430"/>
                <w:sz w:val="17"/>
              </w:rPr>
              <w:t>2026-09-27</w:t>
            </w:r>
          </w:p>
        </w:tc>
        <w:tc>
          <w:tcPr>
            <w:tcW w:type="dxa" w:w="1361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b/>
                <w:color w:val="5F6B7A"/>
                <w:sz w:val="14"/>
                <w:shd w:val="clear" w:color="auto" w:fill="F0F2F5"/>
              </w:rPr>
              <w:t xml:space="preserve"> KITA </w:t>
            </w:r>
          </w:p>
        </w:tc>
        <w:tc>
          <w:tcPr>
            <w:tcW w:type="dxa" w:w="7257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hyperlink r:id="rId26">
              <w:r>
                <w:rPr>
                  <w:color w:val="1B2430"/>
                  <w:sz w:val="18"/>
                </w:rPr>
                <w:t xml:space="preserve">"Rīgas ūdens" līdz oktobra sākumam plāno atjaunot ap 120 ūdensvada un kanalizācijas lūku</w:t>
              </w:r>
            </w:hyperlink>
            <w:r>
              <w:rPr>
                <w:b w:val="0"/>
                <w:color w:val="667085"/>
                <w:sz w:val="15"/>
              </w:rPr>
              <w:t xml:space="preserve">   1188.lv</w:t>
            </w:r>
          </w:p>
        </w:tc>
      </w:tr>
    </w:tbl>
    <w:p>
      <w:pPr>
        <w:spacing w:before="0" w:after="40"/>
      </w:pP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09</w:t>
        <w:tab/>
      </w:r>
      <w:r>
        <w:rPr>
          <w:b/>
          <w:color w:val="12355B"/>
          <w:sz w:val="28"/>
        </w:rPr>
        <w:t>ESG report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Exclusionary screening (companies)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involved in excluded sectors: controversial and nuclear weapons, tobacco, gambling and restricted sectors in fossil fuel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Vandens tiekimas ir nuotekų valymas – veiklos išskirtuose sektoriuose nėra</w:t>
            </w:r>
            <w:hyperlink r:id="rId20">
              <w:r>
                <w:rPr>
                  <w:color w:val="2A78D6"/>
                  <w:vertAlign w:val="superscript"/>
                  <w:sz w:val="15"/>
                </w:rPr>
                <w:t xml:space="preserve">12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red flag/signal related to controversies based on UN Global Compact, OECD Guidelines for Multinational Enterprises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Ginčų pagal JT Pasaulinį susitarimą ar EBPO gaires ir aplinkosaugos baudų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 (riba 2 %)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not in the list of sanctions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Nerasta EU, UN, US OFAC konsoliduotuose sankcijų sąrašuose (automatinė patikra 2026-10-26).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Rankinė patikra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OFAC sankcijų paieška</w:t>
            </w:r>
            <w:hyperlink r:id="rId27">
              <w:r>
                <w:rPr>
                  <w:color w:val="2A78D6"/>
                  <w:vertAlign w:val="superscript"/>
                  <w:sz w:val="15"/>
                </w:rPr>
                <w:t xml:space="preserve">21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sankcijų žemėlapis</w:t>
            </w:r>
            <w:hyperlink r:id="rId28">
              <w:r>
                <w:rPr>
                  <w:color w:val="2A78D6"/>
                  <w:vertAlign w:val="superscript"/>
                  <w:sz w:val="15"/>
                </w:rPr>
                <w:t xml:space="preserve">22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SEB eNameChecker (vidinė SEB sistema).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issues were not identified from adverse media checks (add a screenshot)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Neigiamų naujienų nerasta (2026-10-22).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Dėl kvapų Vārnukrogs rajone 2025 m. gruodį uždengta dumblo saugykla</w:t>
            </w:r>
            <w:hyperlink r:id="rId17">
              <w:r>
                <w:rPr>
                  <w:color w:val="2A78D6"/>
                  <w:vertAlign w:val="superscript"/>
                  <w:sz w:val="15"/>
                </w:rPr>
                <w:t xml:space="preserve">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Naujienų suvestinė 2026-07-28 – 2026-10-26: 3 pranešimų, iš jų su neigiamu žodžiu antraštėje – 0 (plačiau – skiltyje „Ką rašo spauda“).</w:t>
            </w:r>
          </w:p>
        </w:tc>
      </w:tr>
    </w:tbl>
    <w:p>
      <w:pPr>
        <w:spacing w:before="120" w:after="40"/>
      </w:pPr>
      <w:r>
        <w:rPr>
          <w:i/>
          <w:color w:val="333333"/>
          <w:sz w:val="18"/>
        </w:rPr>
        <w:t>In case any red flags, risks, unclarities were identified then additional checks (sanctions screening and adverse media checks) on the company’s Ultimate Beneficial Owners and/or senior management shall be performed.</w:t>
      </w:r>
    </w:p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ESG integration and positive screening (positive answers imply higher allocation)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is promoting environmental or social characteristics (activities, ESG policy, good ESG rating, etc)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Žalioji obligacija pagal ES standartą, lėšos – nuotekų valymui (94 %) ir saulės elektrinėms (5 %)</w:t>
            </w:r>
            <w:hyperlink r:id="rId21">
              <w:r>
                <w:rPr>
                  <w:color w:val="2A78D6"/>
                  <w:vertAlign w:val="superscript"/>
                  <w:sz w:val="15"/>
                </w:rPr>
                <w:t xml:space="preserve">14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PFAS valymo bandomasis projektas</w:t>
            </w:r>
            <w:hyperlink r:id="rId29">
              <w:r>
                <w:rPr>
                  <w:color w:val="2A78D6"/>
                  <w:vertAlign w:val="superscript"/>
                  <w:sz w:val="15"/>
                </w:rPr>
                <w:t xml:space="preserve">23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activities of the company or it’s strategy is aligned with the taxonomy and/or Paris agreement targets (e.g. net zero commitment)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ES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does not have yellow flag/signal related to controversies based on UN Global Compact or any other relevant principles/standards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Geltonų signalų nerasta.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Įmonė pati nurodo poveikio sritis: šiltnamio dujų nuotėkis, valymas per liūtis, mikroteršalai, vandens nuostoliai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company fulfills the expectations from SEB thematic and sector policies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Taikoma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Investicijų politika</w:t>
            </w:r>
            <w:hyperlink r:id="rId31">
              <w:r>
                <w:rPr>
                  <w:color w:val="2A78D6"/>
                  <w:vertAlign w:val="superscript"/>
                  <w:sz w:val="15"/>
                </w:rPr>
                <w:t xml:space="preserve">25</w:t>
              </w:r>
            </w:hyperlink>
            <w:r>
              <w:rPr>
                <w:b w:val="0"/>
                <w:color w:val="333333"/>
                <w:sz w:val="18"/>
              </w:rPr>
              <w:t xml:space="preserve"> ir aplinkosaugos politika (klimatas, gamta, vanduo)</w:t>
            </w:r>
            <w:hyperlink r:id="rId32">
              <w:r>
                <w:rPr>
                  <w:color w:val="2A78D6"/>
                  <w:vertAlign w:val="superscript"/>
                  <w:sz w:val="15"/>
                </w:rPr>
                <w:t xml:space="preserve">26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  <w:p>
            <w:pPr>
              <w:spacing w:before="40" w:after="0"/>
            </w:pPr>
            <w:r>
              <w:rPr>
                <w:b/>
                <w:color w:val="333333"/>
                <w:sz w:val="18"/>
              </w:rPr>
              <w:t>Atitinka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ES žaliųjų obligacijų standartas ir išorinė patikra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Nuotekų valymo kokybė atitinka ribas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Atskleidžiami reikšmingi poveikiai</w:t>
            </w:r>
            <w:hyperlink r:id="rId30">
              <w:r>
                <w:rPr>
                  <w:color w:val="2A78D6"/>
                  <w:vertAlign w:val="superscript"/>
                  <w:sz w:val="15"/>
                </w:rPr>
                <w:t xml:space="preserve">24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Engagement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9AA5B1"/>
                <w:sz w:val="24"/>
              </w:rPr>
              <w:t>☐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Is there a need for pro-active engagement with the company?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Nereikia: reguliuojama savivaldybės įmonė su žaliųjų investicijų programa.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keepNext/>
        <w:shd w:val="clear" w:color="auto" w:fill="EEF3F8"/>
        <w:spacing w:before="200" w:after="80"/>
        <w:ind w:left="85"/>
      </w:pPr>
      <w:r>
        <w:rPr>
          <w:b/>
          <w:caps/>
          <w:color w:val="12355B"/>
          <w:sz w:val="19"/>
        </w:rPr>
        <w:t>Indicators</w:t>
      </w:r>
    </w:p>
    <w:tbl>
      <w:tblPr>
        <w:tblW w:w="9639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90" w:type="dxa"/>
          <w:left w:w="0" w:type="dxa"/>
          <w:bottom w:w="110" w:type="dxa"/>
          <w:right w:w="0" w:type="dxa"/>
        </w:tblCellMar>
        <w:tblLook w:firstColumn="1" w:firstRow="1" w:lastColumn="0" w:lastRow="0" w:noHBand="0" w:noVBand="1" w:val="04A0"/>
      </w:tblPr>
      <w:tblGrid>
        <w:gridCol w:w="340"/>
        <w:gridCol w:w="9298"/>
      </w:tblGrid>
      <w:tr>
        <w:tc>
          <w:tcPr>
            <w:tcW w:type="dxa" w:w="340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0"/>
            </w:pPr>
            <w:r>
              <w:rPr>
                <w:rFonts w:ascii="Segoe UI Symbol" w:hAnsi="Segoe UI Symbol"/>
                <w:b w:val="0"/>
                <w:color w:val="1B7F3B"/>
                <w:sz w:val="24"/>
              </w:rPr>
              <w:t>☑</w:t>
            </w:r>
          </w:p>
        </w:tc>
        <w:tc>
          <w:tcPr>
            <w:tcW w:type="dxa" w:w="9298"/>
            <w:tcBorders>
              <w:top w:val="nil"/>
              <w:left w:val="nil"/>
              <w:bottom w:val="single" w:sz="4" w:color="E3E8EE" w:space="0"/>
              <w:right w:val="nil"/>
            </w:tcBorders>
          </w:tcPr>
          <w:p>
            <w:pPr>
              <w:spacing w:before="0" w:after="40"/>
            </w:pPr>
            <w:r>
              <w:rPr>
                <w:b/>
                <w:color w:val="1B2430"/>
                <w:sz w:val="19"/>
              </w:rPr>
              <w:t>Yes, the indicators of the company support the targets of sustainability and PAI indicators followed by the Fund</w:t>
            </w:r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Valymo įrenginių perkrova 0,34 %</w:t>
            </w:r>
            <w:hyperlink r:id="rId22">
              <w:r>
                <w:rPr>
                  <w:color w:val="2A78D6"/>
                  <w:vertAlign w:val="superscript"/>
                  <w:sz w:val="15"/>
                </w:rPr>
                <w:t xml:space="preserve">20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100 % obligacijos lėšų – taksonomiją atitinkantiems projektams</w:t>
            </w:r>
            <w:hyperlink r:id="rId12">
              <w:r>
                <w:rPr>
                  <w:color w:val="2A78D6"/>
                  <w:vertAlign w:val="superscript"/>
                  <w:sz w:val="15"/>
                </w:rPr>
                <w:t xml:space="preserve">1</w:t>
              </w:r>
            </w:hyperlink>
          </w:p>
          <w:p>
            <w:pPr>
              <w:tabs>
                <w:tab w:pos="198" w:val="left"/>
              </w:tabs>
              <w:spacing w:before="0" w:after="20"/>
              <w:ind w:left="198" w:hanging="198"/>
            </w:pPr>
            <w:r>
              <w:rPr>
                <w:b w:val="0"/>
                <w:color w:val="667085"/>
                <w:sz w:val="18"/>
              </w:rPr>
              <w:t>•</w:t>
              <w:tab/>
            </w:r>
            <w:r>
              <w:rPr>
                <w:b w:val="0"/>
                <w:color w:val="333333"/>
                <w:sz w:val="18"/>
              </w:rPr>
              <w:t>Iki 2030 m. renovuoti 90 km vandentiekio ir 55 km kanalizacijos</w:t>
            </w:r>
            <w:hyperlink r:id="rId33">
              <w:r>
                <w:rPr>
                  <w:color w:val="2A78D6"/>
                  <w:vertAlign w:val="superscript"/>
                  <w:sz w:val="15"/>
                </w:rPr>
                <w:t xml:space="preserve">27</w:t>
              </w:r>
            </w:hyperlink>
            <w:r>
              <w:rPr>
                <w:b w:val="0"/>
                <w:color w:val="333333"/>
                <w:sz w:val="18"/>
              </w:rPr>
              <w:t>.</w:t>
            </w:r>
          </w:p>
        </w:tc>
      </w:tr>
    </w:tbl>
    <w:p>
      <w:pPr>
        <w:spacing w:before="120" w:after="40"/>
      </w:pPr>
      <w:r>
        <w:rPr>
          <w:b/>
          <w:sz w:val="19"/>
        </w:rPr>
        <w:t xml:space="preserve">Additional comments: </w:t>
      </w:r>
    </w:p>
    <w:p>
      <w:pPr>
        <w:spacing w:before="120" w:after="40"/>
      </w:pPr>
      <w:r>
        <w:rPr>
          <w:b/>
          <w:sz w:val="19"/>
        </w:rPr>
        <w:t xml:space="preserve">Conclusion: </w:t>
      </w:r>
      <w:r>
        <w:rPr>
          <w:b w:val="0"/>
          <w:sz w:val="19"/>
        </w:rPr>
        <w:t>Išimčių ir raudonų signalų nėra. Žalioji obligacija pagal ES standartą, investicijos į nuotekų valymą.</w:t>
      </w:r>
    </w:p>
    <w:p>
      <w:pPr>
        <w:spacing w:before="40" w:after="60"/>
      </w:pPr>
      <w:r>
        <w:rPr>
          <w:b w:val="0"/>
          <w:color w:val="667085"/>
          <w:sz w:val="16"/>
        </w:rPr>
        <w:t>Taikytos SEB politikos: Policy on Sustainability Considerations in Investments (SEB AB); Environmental Policy on Climate, Nature and Water (thematic); Social and Human Rights Policy (thematic); Governance expectations in sector policies (anti-corruption, tax, reporting)</w:t>
      </w:r>
    </w:p>
    <w:p>
      <w:pPr>
        <w:keepNext/>
        <w:pBdr>
          <w:bottom w:val="single" w:sz="8" w:color="12355B" w:space="4"/>
        </w:pBdr>
        <w:tabs>
          <w:tab w:pos="482" w:val="left"/>
        </w:tabs>
        <w:spacing w:before="360" w:after="160"/>
      </w:pPr>
      <w:r>
        <w:rPr>
          <w:b/>
          <w:color w:val="2A78D6"/>
          <w:sz w:val="18"/>
        </w:rPr>
        <w:t>10</w:t>
        <w:tab/>
      </w:r>
      <w:r>
        <w:rPr>
          <w:b/>
          <w:color w:val="12355B"/>
          <w:sz w:val="28"/>
        </w:rPr>
        <w:t>Šaltiniai</w:t>
      </w:r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3.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17-18, 34,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4.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18-19,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5.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43,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7.</w:t>
        <w:tab/>
      </w:r>
      <w:hyperlink r:id="rId17">
        <w:r>
          <w:rPr>
            <w:color w:val="2A78D6"/>
            <w:sz w:val="17"/>
          </w:rPr>
          <w:t xml:space="preserve">Rīgas ūdens - Annual report 2025 (audited), p. 28,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8.</w:t>
        <w:tab/>
      </w:r>
      <w:hyperlink r:id="rId18">
        <w:r>
          <w:rPr>
            <w:color w:val="2A78D6"/>
            <w:sz w:val="17"/>
          </w:rPr>
          <w:t xml:space="preserve">Rīgas ūdens - Annual report 2025 (audited),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9.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10.</w:t>
        <w:tab/>
      </w:r>
      <w:hyperlink r:id="rId14">
        <w:r>
          <w:rPr>
            <w:color w:val="2A78D6"/>
            <w:sz w:val="17"/>
          </w:rPr>
          <w:t xml:space="preserve">Rīgas ūdens - Interim report 6M 2026 (unaudited), p.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11.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12.</w:t>
        <w:tab/>
      </w:r>
      <w:hyperlink r:id="rId20">
        <w:r>
          <w:rPr>
            <w:color w:val="2A78D6"/>
            <w:sz w:val="17"/>
          </w:rPr>
          <w:t xml:space="preserve">Rīgas ūdens - Interim report 6M 2026 (unaudited), p. 10,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13.</w:t>
        <w:tab/>
      </w:r>
      <w:hyperlink r:id="rId16">
        <w:r>
          <w:rPr>
            <w:color w:val="2A78D6"/>
            <w:sz w:val="17"/>
          </w:rPr>
          <w:t xml:space="preserve">Rīgas ūdens - Interim report 6M 2026 (unaudited), p. 12,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14.</w:t>
        <w:tab/>
      </w:r>
      <w:hyperlink r:id="rId21">
        <w:r>
          <w:rPr>
            <w:color w:val="2A78D6"/>
            <w:sz w:val="17"/>
          </w:rPr>
          <w:t xml:space="preserve">Rīgas ūdens - Annual report 2025 (audited), p. 20,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15.</w:t>
        <w:tab/>
      </w:r>
      <w:hyperlink r:id="rId21">
        <w:r>
          <w:rPr>
            <w:color w:val="2A78D6"/>
            <w:sz w:val="17"/>
          </w:rPr>
          <w:t xml:space="preserve">Rīgas ūdens - Annual report 2025 (audited), p. 20-21,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16.</w:t>
        <w:tab/>
      </w:r>
      <w:hyperlink r:id="rId12">
        <w:r>
          <w:rPr>
            <w:color w:val="2A78D6"/>
            <w:sz w:val="17"/>
          </w:rPr>
          <w:t xml:space="preserve">Rīgas ūdens - Interim report 6M 2026 (unaudited), p. 5, 17,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17.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18.</w:t>
        <w:tab/>
      </w:r>
      <w:hyperlink r:id="rId15">
        <w:r>
          <w:rPr>
            <w:color w:val="2A78D6"/>
            <w:sz w:val="17"/>
          </w:rPr>
          <w:t xml:space="preserve">Rīgas ūdens - Interim report 6M 2026 (unaudited), p. 18, 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19.</w:t>
        <w:tab/>
      </w:r>
      <w:hyperlink r:id="rId23">
        <w:r>
          <w:rPr>
            <w:color w:val="2A78D6"/>
            <w:sz w:val="17"/>
          </w:rPr>
          <w:t xml:space="preserve">Rīgas ūdens - Interim report 6M 2026 (unaudited), p. 6,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20.</w:t>
        <w:tab/>
      </w:r>
      <w:hyperlink r:id="rId22">
        <w:r>
          <w:rPr>
            <w:color w:val="2A78D6"/>
            <w:sz w:val="17"/>
          </w:rPr>
          <w:t xml:space="preserve">Rīgas ūdens - Interim report 6M 2026 (unaudited), p. 15,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21.</w:t>
        <w:tab/>
      </w:r>
      <w:hyperlink r:id="rId27">
        <w:r>
          <w:rPr>
            <w:color w:val="2A78D6"/>
            <w:sz w:val="17"/>
          </w:rPr>
          <w:t xml:space="preserve">OFAC Sanctions List Search (US Treasury)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22.</w:t>
        <w:tab/>
      </w:r>
      <w:hyperlink r:id="rId28">
        <w:r>
          <w:rPr>
            <w:color w:val="2A78D6"/>
            <w:sz w:val="17"/>
          </w:rPr>
          <w:t xml:space="preserve">EU Sanctions Map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23.</w:t>
        <w:tab/>
      </w:r>
      <w:hyperlink r:id="rId29">
        <w:r>
          <w:rPr>
            <w:color w:val="2A78D6"/>
            <w:sz w:val="17"/>
          </w:rPr>
          <w:t xml:space="preserve">Rīgas ūdens - Annual report 2025 (audited), p. 5,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24.</w:t>
        <w:tab/>
      </w:r>
      <w:hyperlink r:id="rId30">
        <w:r>
          <w:rPr>
            <w:color w:val="2A78D6"/>
            <w:sz w:val="17"/>
          </w:rPr>
          <w:t xml:space="preserve">Rīgas ūdens - Annual report 2025 (audited), p. 48,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25.</w:t>
        <w:tab/>
      </w:r>
      <w:hyperlink r:id="rId31">
        <w:r>
          <w:rPr>
            <w:color w:val="2A78D6"/>
            <w:sz w:val="17"/>
          </w:rPr>
          <w:t xml:space="preserve">SEB Policy on Sustainability Considerations in Investments (2026-04-15), 2026-04-15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26.</w:t>
        <w:tab/>
      </w:r>
      <w:hyperlink r:id="rId32">
        <w:r>
          <w:rPr>
            <w:color w:val="2A78D6"/>
            <w:sz w:val="17"/>
          </w:rPr>
          <w:t xml:space="preserve">SEB Environmental Policy on Climate, Nature and Water (2026), 2026</w:t>
        </w:r>
      </w:hyperlink>
    </w:p>
    <w:p>
      <w:pPr>
        <w:tabs>
          <w:tab w:pos="397" w:val="left"/>
        </w:tabs>
        <w:spacing w:before="0" w:after="30"/>
        <w:ind w:left="397" w:hanging="397"/>
      </w:pPr>
      <w:r>
        <w:rPr>
          <w:b w:val="0"/>
          <w:color w:val="667085"/>
          <w:sz w:val="17"/>
        </w:rPr>
        <w:t>27.</w:t>
        <w:tab/>
      </w:r>
      <w:hyperlink r:id="rId33">
        <w:r>
          <w:rPr>
            <w:color w:val="2A78D6"/>
            <w:sz w:val="17"/>
          </w:rPr>
          <w:t xml:space="preserve">Rīgas ūdens - Interim report 6M 2026 (unaudited), p. 32, 2026</w:t>
        </w:r>
      </w:hyperlink>
    </w:p>
    <w:p>
      <w:pPr>
        <w:spacing w:before="40" w:after="60"/>
      </w:pPr>
      <w:r>
        <w:rPr>
          <w:b w:val="0"/>
          <w:color w:val="667085"/>
          <w:sz w:val="16"/>
        </w:rPr>
        <w:t>Ataskaita parengta iš viešų šaltinių. Skaičiai pateikiami taip, kaip juos skelbia emitentas; maži numeriai prie teksto veda į šaltinių sąrašą.</w:t>
      </w:r>
    </w:p>
    <w:sectPr w:rsidR="00FC693F" w:rsidRPr="0006063C" w:rsidSect="00034616">
      <w:headerReference w:type="default" r:id="rId9"/>
      <w:footerReference w:type="default" r:id="rId10"/>
      <w:footerReference w:type="first" r:id="rId11"/>
      <w:pgSz w:w="11906" w:h="16838"/>
      <w:pgMar w:top="1020" w:right="1134" w:bottom="1020" w:left="1134" w:header="510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color="D5DCE4" w:space="4"/>
      </w:pBdr>
      <w:tabs>
        <w:tab w:pos="9638" w:val="right"/>
      </w:tabs>
    </w:pPr>
    <w:r>
      <w:rPr>
        <w:b w:val="0"/>
        <w:color w:val="667085"/>
        <w:sz w:val="16"/>
      </w:rPr>
      <w:t>Rīgas ūdens · 6M2026 · 2026-10-22</w:t>
      <w:tab/>
    </w:r>
    <w:r>
      <w:rPr>
        <w:b/>
        <w:color w:val="12355B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bottom w:val="single" w:sz="4" w:color="D5DCE4" w:space="4"/>
      </w:pBdr>
      <w:tabs>
        <w:tab w:pos="9638" w:val="right"/>
      </w:tabs>
    </w:pPr>
    <w:r>
      <w:rPr>
        <w:b/>
        <w:color w:val="12355B"/>
        <w:sz w:val="16"/>
      </w:rPr>
      <w:t>Rīgas ūdens</w:t>
    </w:r>
    <w:r>
      <w:rPr>
        <w:b w:val="0"/>
        <w:color w:val="667085"/>
        <w:sz w:val="16"/>
      </w:rPr>
      <w:tab/>
      <w:t>Emitento apžvalga · 6M2026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4" w:lineRule="auto"/>
    </w:pPr>
    <w:rPr>
      <w:rFonts w:ascii="Calibri" w:hAnsi="Calibri" w:eastAsia="Calibri"/>
      <w:color w:val="1B243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footer" Target="footer2.xml"/><Relationship Id="rId12" Type="http://schemas.openxmlformats.org/officeDocument/2006/relationships/hyperlink" Target="https://nasdaqbaltic.com/market/upload/reports/h2o/2026_q2_en.pdf#page=5" TargetMode="External"/><Relationship Id="rId13" Type="http://schemas.openxmlformats.org/officeDocument/2006/relationships/image" Target="media/image1.png"/><Relationship Id="rId14" Type="http://schemas.openxmlformats.org/officeDocument/2006/relationships/hyperlink" Target="https://nasdaqbaltic.com/market/upload/reports/h2o/2026_q2_en.pdf#page=17" TargetMode="External"/><Relationship Id="rId15" Type="http://schemas.openxmlformats.org/officeDocument/2006/relationships/hyperlink" Target="https://nasdaqbaltic.com/market/upload/reports/h2o/2026_q2_en.pdf#page=18" TargetMode="External"/><Relationship Id="rId16" Type="http://schemas.openxmlformats.org/officeDocument/2006/relationships/hyperlink" Target="https://nasdaqbaltic.com/market/upload/reports/h2o/2026_q2_en.pdf#page=12" TargetMode="External"/><Relationship Id="rId17" Type="http://schemas.openxmlformats.org/officeDocument/2006/relationships/hyperlink" Target="https://nasdaqbaltic.com/market/upload/reports/h2o/2025_ar_en.pdf#page=28" TargetMode="External"/><Relationship Id="rId18" Type="http://schemas.openxmlformats.org/officeDocument/2006/relationships/hyperlink" Target="https://nasdaqbaltic.com/market/upload/reports/h2o/2025_ar_en.pdf#page=17" TargetMode="External"/><Relationship Id="rId19" Type="http://schemas.openxmlformats.org/officeDocument/2006/relationships/image" Target="media/image2.png"/><Relationship Id="rId20" Type="http://schemas.openxmlformats.org/officeDocument/2006/relationships/hyperlink" Target="https://nasdaqbaltic.com/market/upload/reports/h2o/2026_q2_en.pdf#page=10" TargetMode="External"/><Relationship Id="rId21" Type="http://schemas.openxmlformats.org/officeDocument/2006/relationships/hyperlink" Target="https://nasdaqbaltic.com/market/upload/reports/h2o/2025_ar_en.pdf#page=20" TargetMode="External"/><Relationship Id="rId22" Type="http://schemas.openxmlformats.org/officeDocument/2006/relationships/hyperlink" Target="https://nasdaqbaltic.com/market/upload/reports/h2o/2026_q2_en.pdf#page=15" TargetMode="External"/><Relationship Id="rId23" Type="http://schemas.openxmlformats.org/officeDocument/2006/relationships/hyperlink" Target="https://nasdaqbaltic.com/market/upload/reports/h2o/2026_q2_en.pdf#page=6" TargetMode="External"/><Relationship Id="rId24" Type="http://schemas.openxmlformats.org/officeDocument/2006/relationships/hyperlink" Target="https://news.google.com/rss/articles/CBMiekFVX3lxTE44RUJ1LWNpWmZYYl92d2ZrZU0xWXZteFhvUGROdHFaNjJmcXJCY1FhTjB4Q2xHN2c5d1laSVhvd24wem55dHlqZDNwQ2Q3TEZvYUlHTk93TDV1YzEzcy14empiR2kyM3ByVmZlVmNma2FNVDg0amJoa01B?oc=5" TargetMode="External"/><Relationship Id="rId25" Type="http://schemas.openxmlformats.org/officeDocument/2006/relationships/hyperlink" Target="https://news.google.com/rss/articles/CBMi1wFBVV95cUxQT0NfOUNJa2R3NW9zUUZLTkJuTm5KdXBSZHl0am1LcTRqVHBrV2JiMmQ1WlhJMFNPMkdFSWFpaHJLTXJwTElfaXJwVGpkc1p3ejBMV0RsUm50cXVidzI0SVZNbGZnWWY1SEZQNlVRdVh1ajEzb1Q0LUlzdW9RTkVqVmFMUXlNT0dWNWt3TTJOakloaVFLMmhkWW9VLWUxSlE3U19XZHpEMXVmOXZ2RE90Tm44dlhGaE9qbHJ2M2RYT09walUwUnRHOElvcVBjWXZ0eXhOLWw5bw?oc=5" TargetMode="External"/><Relationship Id="rId26" Type="http://schemas.openxmlformats.org/officeDocument/2006/relationships/hyperlink" Target="https://news.google.com/rss/articles/CBMiugFBVV95cUxQbk5xZE5sY0QwVFgzYnNma1hIeHFkSWlkWXBudk5ZcDZCallLWmdudzBrT1BZeHZQM0djdnhtX2FwLTNkRHVzNUxOeV82QVVqbno1N25jN3NGamtRY3NrYUsxcUR2a3E4Qmw5UjR0XzlMNF8wX1ZmekpKVUtmci04SkpsRWtpUENrZUJ4MjJVQkhSa3A0OFlDZmswemJsNWxDQ3RtUld3a1V4eXdhSjN6UFVJX05hY1VmZkE?oc=5" TargetMode="External"/><Relationship Id="rId27" Type="http://schemas.openxmlformats.org/officeDocument/2006/relationships/hyperlink" Target="https://sanctionssearch.ofac.treas.gov/" TargetMode="External"/><Relationship Id="rId28" Type="http://schemas.openxmlformats.org/officeDocument/2006/relationships/hyperlink" Target="https://www.sanctionsmap.eu/#/main" TargetMode="External"/><Relationship Id="rId29" Type="http://schemas.openxmlformats.org/officeDocument/2006/relationships/hyperlink" Target="https://nasdaqbaltic.com/market/upload/reports/h2o/2025_ar_en.pdf#page=5" TargetMode="External"/><Relationship Id="rId30" Type="http://schemas.openxmlformats.org/officeDocument/2006/relationships/hyperlink" Target="https://nasdaqbaltic.com/market/upload/reports/h2o/2025_ar_en.pdf#page=48" TargetMode="External"/><Relationship Id="rId31" Type="http://schemas.openxmlformats.org/officeDocument/2006/relationships/hyperlink" Target="https://sebgroup.com/sustainability/our-sustainability-strategy/policies" TargetMode="External"/><Relationship Id="rId32" Type="http://schemas.openxmlformats.org/officeDocument/2006/relationships/hyperlink" Target="https://webapp.sebgroup.com/mb/mblib.nsf/dld/CBAA255D7EC51026C1257C28002FB11A?opendocument" TargetMode="External"/><Relationship Id="rId33" Type="http://schemas.openxmlformats.org/officeDocument/2006/relationships/hyperlink" Target="https://nasdaqbaltic.com/market/upload/reports/h2o/2026_q2_en.pdf#page=3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