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State investment company (defence industry, energy, Business Support Fund)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2.826%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3.119%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profit EUR 7.1m, equity ratio 70% (own calculation)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assets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(own calculation)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Defence priority:</w:t>
      </w:r>
      <w:r>
        <w:rPr>
          <w:b w:val="0"/>
        </w:rPr>
        <w:t xml:space="preserve"> given the changed geopolitical situation, investment priority goes to defence and security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may invest up to EUR 71.05m in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from revaluation:</w:t>
      </w:r>
      <w:r>
        <w:rPr>
          <w:b w:val="0"/>
        </w:rPr>
        <w:t xml:space="preserve"> net profit EUR 7.1m (a year earlier -0.1m) due to appreciation of long-term financial assets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Funding:</w:t>
      </w:r>
      <w:r>
        <w:rPr>
          <w:b w:val="0"/>
        </w:rPr>
        <w:t xml:space="preserve"> Fitch rated the bond programme A+, the highest so far; the Government set a 2026 borrowing limit of EUR 153m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by mid-2028 PVF returns and bond redemption proceeds will be an important funding source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2026-07-28 – 2026-10-26: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 benefit – national security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finances Lithuania's defence and security industry, e.g. the ammunition plant in Baisogala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By investing we contribute to national security, which we assign to the 'S' (social) part of ESG.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itself states that sustainability is not its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