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40"/>
              </w:rPr>
              <w:t>Atsinaujinančios energetikos investicijos (AEI)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Lithuania · Closed-end renewable energy investment fund (solar, wind, BESS in LT, LV, PL)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9A6400"/>
                <w:sz w:val="18"/>
                <w:shd w:val="clear" w:color="auto" w:fill="FDF1D8"/>
              </w:rPr>
              <w:t xml:space="preserve">  ●  WATCH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(no credit rating found in the reports)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expected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Lithuania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AEI 8.00% green bonds 2025/2027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LT0000134439  ·  8.0% · 2027-12-13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Watch.</w:t>
            </w:r>
            <w:r>
              <w:rPr>
                <w:b w:val="0"/>
                <w:color w:val="1B2430"/>
                <w:sz w:val="21"/>
              </w:rPr>
              <w:t xml:space="preserve"> AEI itself states that current liabilities exceed current assets and EUR 24.7m of bonds must be repaid on 2026-12-04; it has started selling projects to raise funds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Covenants were met at 2026-06-30, with an equity ratio of 54.5% (floor 50%)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-5.13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26.4 %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 ratio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54.5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3.7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63.5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16.6 %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Installed green capacity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317.9</w:t>
            </w:r>
            <w:r>
              <w:rPr>
                <w:b w:val="0"/>
                <w:color w:val="667085"/>
                <w:sz w:val="18"/>
              </w:rPr>
              <w:t xml:space="preserve"> MW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Refinancing risk:</w:t>
      </w:r>
      <w:r>
        <w:rPr>
          <w:b w:val="0"/>
        </w:rPr>
        <w:t xml:space="preserve"> 8.5% bonds of EUR 24.7m are due on 2026-12-04; current liabilities exceed current assets; the report discloses a material uncertainty about going concern</w:t>
      </w:r>
      <w:hyperlink r:id="rId12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Projects for sale:</w:t>
      </w:r>
      <w:r>
        <w:rPr>
          <w:b w:val="0"/>
        </w:rPr>
        <w:t xml:space="preserve"> sell-side advisers hired and talks with buyers under way; on 2026-06-30 Zala Elektriba SIA was moved to UAB Sorlena (transaction value EUR 24.0m)</w:t>
      </w:r>
      <w:hyperlink r:id="rId14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Loss:</w:t>
      </w:r>
      <w:r>
        <w:rPr>
          <w:b w:val="0"/>
        </w:rPr>
        <w:t xml:space="preserve"> 1H net loss EUR 5.1m (4.1m a year earlier); FY2025 EUR 11.7m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Debt falling:</w:t>
      </w:r>
      <w:r>
        <w:rPr>
          <w:b w:val="0"/>
        </w:rPr>
        <w:t xml:space="preserve"> net debt EUR 63.5m (76.1m at end-2025); the 2021-2026 bond (EUR 20.7m) was fully redeemed on 2026-06-17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color w:val="2A78D6"/>
          <w:vertAlign w:val="superscript"/>
        </w:rPr>
        <w:t>,</w:t>
      </w:r>
      <w:hyperlink r:id="rId19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LT0000134439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AEI 8.00% green bonds 2025/2027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8.0%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2027-12-13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Outstanding principal EUR 32.69m at 2026-06-30 (H1 2026 note 9)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operating income,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-6.11*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3.69*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0.82*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56.4 %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-14.78*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-11.75*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-5.13*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1.07 EURm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190.0*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174.7*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153.6*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12.1 %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100.6*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88.8*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83.7*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13.3 %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52.9%ᶜ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50.8%ᶜ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54.5%ᶜ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3.7 p. p.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62.3ᶜ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76.1*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63.5*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16.6 % vs FY2025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Installed green capacity, MW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317.9*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(tool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calculated by the tool.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i_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AEI is a closed-end investment company for informed investors managed by UAB LORDS LB Asset Management; its term has been extended to 2028-02-05</w:t>
      </w:r>
      <w:hyperlink r:id="rId23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Installed portfolio capacity is 317.9 MW:</w:t>
      </w:r>
      <w:r>
        <w:rPr>
          <w:b w:val="0"/>
        </w:rPr>
        <w:t xml:space="preserve"> Žaliosios investicijos (25%, wind, LT) 185.5 MW, PL SUN (Poland, solar) 72.0 MW operating, PV Energy Projects (Poland, solar) 50.8 MW operating; 590 MW solar, 490 MW wind and 57 MW storage in development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23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 112 MW wind farm (WPR2) is being built in Latvia:</w:t>
      </w:r>
      <w:r>
        <w:rPr>
          <w:b w:val="0"/>
        </w:rPr>
        <w:t xml:space="preserve"> foundations done, turbine erection started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At 2026-06-30 total assets EUR 153.6m, equity EUR 83.7m, liabilities EUR 69.9m; cash EUR 1.7m (excluding EUR 2.6m restricted)</w:t>
      </w:r>
      <w:hyperlink r:id="rId21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Bonds carrying amount EUR 59.0m, loans EUR 6.2m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 There is no standard revenue line; 'total income' includes fair value changes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Polish withholding tax refund:</w:t>
      </w:r>
      <w:r>
        <w:rPr>
          <w:b w:val="0"/>
        </w:rPr>
        <w:t xml:space="preserve"> a favourable second-instance decision in June 2026, the rest with interest received in July 2026</w:t>
      </w:r>
      <w:hyperlink r:id="rId2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Redeem the 2021-2026 5% green bonds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Fully redeemed on 2026-06-17 (EUR 20.7m), two days after the stated maturity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Redeemed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Repay the EUR 24.7m 8.5% bonds on 2026-12-04 by selling projects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Sale process started, no deals announced yet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Awaiting the sales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Connect the remaining PL SUN and PV Energy capacity (Poland)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PL SUN 72.0 of 114 MW, PV Energy 50.8 of 67.7 MW; ~17 MW planned for December 2026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Construction ongoing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Sell UAB Nimela (200 MW solar project)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Ownership transfer was expected by 2026-06-30; Nimela was still in the portfolio at end-June (EUR 3.35m)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Deadline passed, the deal is not complete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</w:pPr>
            <w:r>
              <w:rPr>
                <w:b/>
                <w:sz w:val="17"/>
              </w:rPr>
              <w:t>Not met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8.00% green bonds LT0000134439, issued 2025-06-13, maturing 2027-12-13; outstanding EUR 32.7m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 The 5% bond LT0000405938 was redeemed on 2026-06-17 and is no longer held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Covenants:</w:t>
      </w:r>
      <w:r>
        <w:rPr>
          <w:b w:val="0"/>
        </w:rPr>
        <w:t xml:space="preserve"> equity ratio ≥50% (54.5%, calculated by the tool), leverage ≤75%, minimum liquidity EUR 1.5m; met at 2026-06-30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 At end-2025 the equity ratio was 50.8%, close to the floor</w:t>
      </w:r>
      <w:hyperlink r:id="rId20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Order:</w:t>
      </w:r>
      <w:r>
        <w:rPr>
          <w:b w:val="0"/>
        </w:rPr>
        <w:t xml:space="preserve"> the held bonds mature after the December 2026 bond, so their repayment depends on successful asset sales and the December 2026 redemption. Bond security was not found in the reports.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elevated risk – loss-making, short-term liquidity gap and an approaching redemption; watch the asset sales and the 2026-12-04 redemption.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Costs and portfolio:</w:t>
      </w:r>
      <w:r>
        <w:rPr>
          <w:b w:val="0"/>
        </w:rPr>
        <w:t xml:space="preserve"> administrative expenses EUR 2.2m (1.9m), interest expenses EUR 3.7m (4.0m); investment assets fell to EUR 138.4m (165.0m) after EUR 27.7m of disposals and repayments</w:t>
      </w:r>
      <w:hyperlink r:id="rId16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Power market:</w:t>
      </w:r>
      <w:r>
        <w:rPr>
          <w:b w:val="0"/>
        </w:rPr>
        <w:t xml:space="preserve"> management says current electricity market conditions and demand support the projects' viability</w:t>
      </w:r>
      <w:hyperlink r:id="rId27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; in the mFRR balancing market Potentia Industriae earned EUR 1,356k and Rokvėja EUR 850k (to May)</w:t>
      </w:r>
      <w:hyperlink r:id="rId28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Outlook:</w:t>
      </w:r>
      <w:r>
        <w:rPr>
          <w:b w:val="0"/>
        </w:rPr>
        <w:t xml:space="preserve"> the last solar projects (about 17 MW) are due to connect to the grid in December 2026</w:t>
      </w:r>
      <w:hyperlink r:id="rId28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3.43%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LT), 2026-07-24 – 2026-10-22: 1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9">
              <w:r>
                <w:rPr>
                  <w:color w:val="1B2430"/>
                  <w:sz w:val="18"/>
                </w:rPr>
                <w:t xml:space="preserve">UAB “Atsinaujinančios energetikos investicijos” skelbia 2026 m. rugsėjo mėn. GAV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Solar, wind and storage projects only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2026-07-24 – 2026-10-22: 1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'dark green' fund under SFDR Article 9 investing in renewable energy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All bond issues are green bonds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ESG yellow flags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financial risk (going concern) is covered in the Investor section.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Electricity &amp; Renewable Energy policy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Projects in the EU/EEA with permits (e.g.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Ekoelektra has all building permits)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 from an ESG view: a renewable energy fund.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Installed capacity (317.9 MW) and production are reported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An SFDR Article 9 renewable energy fund; the risk is financial, not ESG.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Electricity &amp; Renewable Energy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AEI - Interim financial statements 6M 2026 (unaudited, IFRS), p. 32-33,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AEI - Interim financial statements 6M 2026 (unaudited, IFRS), p. 21,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2">
        <w:r>
          <w:rPr>
            <w:color w:val="2A78D6"/>
            <w:sz w:val="17"/>
          </w:rPr>
          <w:t xml:space="preserve">AEI - Interim financial statements 6M 2026 (unaudited, IFRS), p. 32-34,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4">
        <w:r>
          <w:rPr>
            <w:color w:val="2A78D6"/>
            <w:sz w:val="17"/>
          </w:rPr>
          <w:t xml:space="preserve">AEI - Interim financial statements 6M 2026 (unaudited, IFRS), p. 24-25, 33,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5">
        <w:r>
          <w:rPr>
            <w:color w:val="2A78D6"/>
            <w:sz w:val="17"/>
          </w:rPr>
          <w:t xml:space="preserve">AEI - Investor factsheet as of 2026-06-30, p. 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AEI - Interim financial statements 6M 2026 (unaudited, IFRS), p. 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AEI - Financial statements 12M 2025 (unaudited), p. 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AEI - Interim financial statements 6M 2026 (unaudited, IFRS), p. 19,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9">
        <w:r>
          <w:rPr>
            <w:color w:val="2A78D6"/>
            <w:sz w:val="17"/>
          </w:rPr>
          <w:t xml:space="preserve">AEI - Financial statements 12M 2025 (unaudited), p. 24,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0">
        <w:r>
          <w:rPr>
            <w:color w:val="2A78D6"/>
            <w:sz w:val="17"/>
          </w:rPr>
          <w:t xml:space="preserve">AEI - Financial statements 12M 2025 (unaudited), p. 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1">
        <w:r>
          <w:rPr>
            <w:color w:val="2A78D6"/>
            <w:sz w:val="17"/>
          </w:rPr>
          <w:t xml:space="preserve">AEI - Interim financial statements 6M 2026 (unaudited, IFRS), p. 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3">
        <w:r>
          <w:rPr>
            <w:color w:val="2A78D6"/>
            <w:sz w:val="17"/>
          </w:rPr>
          <w:t xml:space="preserve">AEI - Interim financial statements 6M 2026 (unaudited, IFRS), p. 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1">
        <w:r>
          <w:rPr>
            <w:color w:val="2A78D6"/>
            <w:sz w:val="17"/>
          </w:rPr>
          <w:t xml:space="preserve">AEI - Interim financial statements 6M 2026 (unaudited, IFRS), p. 3, 19,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4">
        <w:r>
          <w:rPr>
            <w:color w:val="2A78D6"/>
            <w:sz w:val="17"/>
          </w:rPr>
          <w:t xml:space="preserve">AEI - Interim financial statements 6M 2026 (unaudited, IFRS),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5">
        <w:r>
          <w:rPr>
            <w:color w:val="2A78D6"/>
            <w:sz w:val="17"/>
          </w:rPr>
          <w:t xml:space="preserve">AEI - Interim financial statements 6M 2026 (unaudited, IFRS), p. 33,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6">
        <w:r>
          <w:rPr>
            <w:color w:val="2A78D6"/>
            <w:sz w:val="17"/>
          </w:rPr>
          <w:t xml:space="preserve">AEI - Financial statements 12M 2025 (unaudited), p. 17,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16">
        <w:r>
          <w:rPr>
            <w:color w:val="2A78D6"/>
            <w:sz w:val="17"/>
          </w:rPr>
          <w:t xml:space="preserve">AEI - Interim financial statements 6M 2026 (unaudited, IFRS), p. 4,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7">
        <w:r>
          <w:rPr>
            <w:color w:val="2A78D6"/>
            <w:sz w:val="17"/>
          </w:rPr>
          <w:t xml:space="preserve">AEI - Interim financial statements 6M 2026 (unaudited, IFRS),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8">
        <w:r>
          <w:rPr>
            <w:color w:val="2A78D6"/>
            <w:sz w:val="17"/>
          </w:rPr>
          <w:t xml:space="preserve">AEI - Investor factsheet as of 2026-06-30, p. 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30">
        <w:r>
          <w:rPr>
            <w:color w:val="2A78D6"/>
            <w:sz w:val="17"/>
          </w:rPr>
          <w:t xml:space="preserve">SEB Sector Policy on Electricity &amp; Renewable Energy (2026-04-23), p. 6-8, 2026-04-23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Atsinaujinančios energetikos investicijos (AEI)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Atsinaujinančios energetikos investicijos (AEI)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Atsinaujinančios energetikos investicijos (AEI)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aei/2026_q2_en_con_esef.pdf#page=32" TargetMode="External"/><Relationship Id="rId13" Type="http://schemas.openxmlformats.org/officeDocument/2006/relationships/hyperlink" Target="https://nasdaqbaltic.com/market/upload/reports/aei/2026_q2_en_con_esef.pdf#page=21" TargetMode="External"/><Relationship Id="rId14" Type="http://schemas.openxmlformats.org/officeDocument/2006/relationships/hyperlink" Target="https://nasdaqbaltic.com/market/upload/reports/aei/2026_q2_en_con_esef.pdf#page=24" TargetMode="External"/><Relationship Id="rId15" Type="http://schemas.openxmlformats.org/officeDocument/2006/relationships/hyperlink" Target="https://nasdaqbaltic.com/market/upload/reports/aei/2026_q2_en.pdf#page=1" TargetMode="External"/><Relationship Id="rId16" Type="http://schemas.openxmlformats.org/officeDocument/2006/relationships/hyperlink" Target="https://nasdaqbaltic.com/market/upload/reports/aei/2026_q2_en_con_esef.pdf#page=4" TargetMode="External"/><Relationship Id="rId17" Type="http://schemas.openxmlformats.org/officeDocument/2006/relationships/hyperlink" Target="https://nasdaqbaltic.com/market/upload/reports/aei/2025_q4_en_con.pdf#page=4" TargetMode="External"/><Relationship Id="rId18" Type="http://schemas.openxmlformats.org/officeDocument/2006/relationships/hyperlink" Target="https://nasdaqbaltic.com/market/upload/reports/aei/2026_q2_en_con_esef.pdf#page=19" TargetMode="External"/><Relationship Id="rId19" Type="http://schemas.openxmlformats.org/officeDocument/2006/relationships/hyperlink" Target="https://nasdaqbaltic.com/market/upload/reports/aei/2025_q4_en_con.pdf#page=24" TargetMode="External"/><Relationship Id="rId20" Type="http://schemas.openxmlformats.org/officeDocument/2006/relationships/hyperlink" Target="https://nasdaqbaltic.com/market/upload/reports/aei/2025_q4_en_con.pdf#page=3" TargetMode="External"/><Relationship Id="rId21" Type="http://schemas.openxmlformats.org/officeDocument/2006/relationships/hyperlink" Target="https://nasdaqbaltic.com/market/upload/reports/aei/2026_q2_en_con_esef.pdf#page=3" TargetMode="External"/><Relationship Id="rId22" Type="http://schemas.openxmlformats.org/officeDocument/2006/relationships/image" Target="media/image1.png"/><Relationship Id="rId23" Type="http://schemas.openxmlformats.org/officeDocument/2006/relationships/hyperlink" Target="https://nasdaqbaltic.com/market/upload/reports/aei/2026_q2_en_con_esef.pdf#page=9" TargetMode="External"/><Relationship Id="rId24" Type="http://schemas.openxmlformats.org/officeDocument/2006/relationships/hyperlink" Target="https://nasdaqbaltic.com/market/upload/reports/aei/2026_q2_en_con_esef.pdf#page=17" TargetMode="External"/><Relationship Id="rId25" Type="http://schemas.openxmlformats.org/officeDocument/2006/relationships/hyperlink" Target="https://nasdaqbaltic.com/market/upload/reports/aei/2026_q2_en_con_esef.pdf#page=33" TargetMode="External"/><Relationship Id="rId26" Type="http://schemas.openxmlformats.org/officeDocument/2006/relationships/hyperlink" Target="https://nasdaqbaltic.com/market/upload/reports/aei/2025_q4_en_con.pdf#page=17" TargetMode="External"/><Relationship Id="rId27" Type="http://schemas.openxmlformats.org/officeDocument/2006/relationships/hyperlink" Target="https://nasdaqbaltic.com/market/upload/reports/aei/2026_q2_en_con_esef.pdf#page=18" TargetMode="External"/><Relationship Id="rId28" Type="http://schemas.openxmlformats.org/officeDocument/2006/relationships/hyperlink" Target="https://nasdaqbaltic.com/market/upload/reports/aei/2026_q2_en.pdf#page=2" TargetMode="External"/><Relationship Id="rId29" Type="http://schemas.openxmlformats.org/officeDocument/2006/relationships/hyperlink" Target="https://news.google.com/rss/articles/CBMi9gFBVV95cUxNWmZDczdRcTl4a3laUEh6RmFVU3pyeGNyOS1aTmZuQ3ZFOVo5Qzd3ZVVJNU5saW9yZktveTdTRzMtazZXUm9reFZoUm9DbTdFZTBlMVFjRnY4dEw2SENCcFYwOTF0VW4yaW1CV25wdUxDNE9tTllKaDFhUGNLX1hMbkEtMFY5UkJGRTVoaXdybFRBdWRhQmJiVzhlcXoxOUJyME9zNGFKaVFvcTBpWDQwXy16VUtpQXFsaFJnLU9ZSU1BQ01NQTYtV0ZjTFNhRXVYRXVQZFExZndsOVJGRjlEVzBGdzdXa3lwWW1MYU1ZT2prczFUVGc?oc=5" TargetMode="External"/><Relationship Id="rId30" Type="http://schemas.openxmlformats.org/officeDocument/2006/relationships/hyperlink" Target="https://webapp.sebgroup.com/mb/mblib.nsf/dld/60D2454400789893C12587D70030AFC1?open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