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Energy utility (networks, renewables, flexibility,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share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2.000%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1.875%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2.000%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Credit quality is stable: BBB+ / Baa1 ratings and leverage of 3.49x, inside the 3-4x target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is weaker, but the 2026 guidance was kept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The held bond XS1646530565 is subject to the issuer's tender offer of 2026-10-19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1,925.3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winter cut both ways:</w:t>
      </w:r>
      <w:r>
        <w:rPr>
          <w:b w:val="0"/>
        </w:rPr>
        <w:t xml:space="preserve"> Customers &amp; Solutions EBITDA rose significantly on higher volumes in the cold winter and one-off gas wholesale deals in Q1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but Green Capacities EBITDA fell 10% to EUR 149m on lower captured price and volume – the hedge price fell from EUR 130 to 82/MWh and wind speeds were very low in the cold winter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Balancing market maturing:</w:t>
      </w:r>
      <w:r>
        <w:rPr>
          <w:b w:val="0"/>
        </w:rPr>
        <w:t xml:space="preserve"> Reserve Capacities EBITDA fell 38% on lower balancing-capacity results as the market becomes more competitive, plus a planned overhaul of Elektrėnai Unit 7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Regulation:</w:t>
      </w:r>
      <w:r>
        <w:rPr>
          <w:b w:val="0"/>
        </w:rPr>
        <w:t xml:space="preserve"> under the new prosumer law, from 2027-01-01 the tariff will be funded by prosumers (up to EUR 0.01/kWh) and other consumers (up to EUR 0.003/kWh)</w:t>
      </w:r>
      <w:hyperlink r:id="rId38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the CFO expects this to cover about 60-70% of current losses (prosumer EBITDA was about EUR -30m last year)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Guidance unchanged:</w:t>
      </w:r>
      <w:r>
        <w:rPr>
          <w:b w:val="0"/>
        </w:rPr>
        <w:t xml:space="preserve"> 2026 Adjusted EBITDA EUR 550-600m, investments EUR 590-690m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39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1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2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3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2026-07-24 – 2026-10-22: 86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Ignitis Grupe Prices EUR300 Million European Green Bond</w:t>
              </w:r>
            </w:hyperlink>
            <w:r>
              <w:rPr>
                <w:b w:val="0"/>
                <w:color w:val="667085"/>
                <w:sz w:val="15"/>
              </w:rPr>
              <w:t xml:space="preserve">   www.marketscreener.com  ·  10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86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0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1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3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0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1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4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7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58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56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59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3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0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ignitisgrupe.lt/sites/default/files/public/inline-files/First%20six%20months%202026%20interim%20report.pdf#page=9" TargetMode="External"/><Relationship Id="rId39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0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1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2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3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4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5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6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7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48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49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0" Type="http://schemas.openxmlformats.org/officeDocument/2006/relationships/hyperlink" Target="https://ignitisgrupe.lt/sites/default/files/public/inline-files/Integrated%20Annual%20Report%202025.pdf#page=10" TargetMode="External"/><Relationship Id="rId51" Type="http://schemas.openxmlformats.org/officeDocument/2006/relationships/hyperlink" Target="https://ignitisgrupe.lt/tvarumo-valdymas/politikos-ir-sertifikatai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webapp.sebgroup.com/mb/mblib.nsf/dld/60D2454400789893C12587D70030AFC1?opendocument" TargetMode="External"/><Relationship Id="rId54" Type="http://schemas.openxmlformats.org/officeDocument/2006/relationships/hyperlink" Target="https://ignitisgrupe.lt/sites/default/files/public/inline-files/Integrated%20Annual%20Report%202025.pdf#page=24" TargetMode="External"/><Relationship Id="rId55" Type="http://schemas.openxmlformats.org/officeDocument/2006/relationships/hyperlink" Target="https://webapp.sebgroup.com/mb/mblib.nsf/dld/80AF6A2E5F88CDC2C12586B1002E33C2?opendocument" TargetMode="External"/><Relationship Id="rId56" Type="http://schemas.openxmlformats.org/officeDocument/2006/relationships/hyperlink" Target="https://ignitisgrupe.lt/sites/default/files/public/inline-files/Integrated%20Annual%20Report%202025.pdf#page=8" TargetMode="External"/><Relationship Id="rId57" Type="http://schemas.openxmlformats.org/officeDocument/2006/relationships/hyperlink" Target="https://ignitisgrupe.lt/sites/default/files/public/inline-files/Integrated%20Annual%20Report%202025.pdf#page=16" TargetMode="External"/><Relationship Id="rId58" Type="http://schemas.openxmlformats.org/officeDocument/2006/relationships/hyperlink" Target="https://ignitisgrupe.lt/tvarumo-prioritetai/verslo-etika" TargetMode="External"/><Relationship Id="rId59" Type="http://schemas.openxmlformats.org/officeDocument/2006/relationships/hyperlink" Target="https://ignitisgrupe.lt/tvarumo-prioritetai/gamta" TargetMode="External"/><Relationship Id="rId60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