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9M2026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LHV Group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Moody's: LHV Group senior unsecured Baa2 (positive outlook); LHV Pank deposits A3 (positive), updated 2025-09-01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October 2026 monthly results - 2026-11-17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5.375% senior notes 2028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XS2822574245  ·  5,375 % · 2028-05-24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Moody's Baa2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5.5% Tier 2 2035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XS3153067288  ·  5,5 % · 2035-09-16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6.0% Tier 2 2034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EE3300004993  ·  6,0 % · 2034-11-15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senior FRN 2027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XS2693753704  ·  2027-10-03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Moody's Baa2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9.5% AT1 perpetual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XS3042781024  ·  9,5 % · neterminuota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4.125% senior notes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XS3090105829  ·  4,125 % · 2029-06-18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Moody's Baa2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III ketv. pelnas buvo rekordinis (37,5 mln. EUR, prieš metus 26,3 mln.), ir bankas sako, kad finansinio plano tikslus pasieks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Kapitalo atsarga sumažėjo: bendras kapitalas 20,25 %, kai vidinis tikslas 20,0 %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Tai svarbiausia turimoms Tier 2 ir AT1 obligacijoms.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81,91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5,0 %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14,0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2,1 p. p.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rodiklis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15,28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1,76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Bendrasis kapitalo rodiklis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20,25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3,05 p. p. vs 9M2025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Stiprus III ketvirtis:</w:t>
      </w:r>
      <w:r>
        <w:rPr>
          <w:b w:val="0"/>
        </w:rPr>
        <w:t xml:space="preserve"> grynasis pelnas 37,5 mln. EUR (prieš metus 26,3 mln.), ROE 19,3 %. Per 9 mėn. pelnas 81,9 mln. EUR, šiek tiek mažiau nei prieš metus (86,2 mln.)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Planas bus įvykdytas:</w:t>
      </w:r>
      <w:r>
        <w:rPr>
          <w:b w:val="0"/>
        </w:rPr>
        <w:t xml:space="preserve"> vadovybė teigia, kad III ketv. rezultatai „aiškiai lenkia finansinį planą“ ir metų tikslai bus pasiekti. 2026 m. plane – 117,9 mln. EUR pelno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Kapitalo atsarga mažesnė:</w:t>
      </w:r>
      <w:r>
        <w:rPr>
          <w:b w:val="0"/>
        </w:rPr>
        <w:t xml:space="preserve"> bendras kapitalas 20,25 % (2025 m. pab. 22,39 %), CET1 15,28 % (17,04 %). Vidinis tikslas – 20,0 %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Likvidumas ir MREL – su atsarga:</w:t>
      </w:r>
      <w:r>
        <w:rPr>
          <w:b w:val="0"/>
        </w:rPr>
        <w:t xml:space="preserve"> LCR 173,9 %, MREL 35,04 % TREA, kai reikalaujama 24,59 %</w:t>
      </w:r>
      <w:hyperlink r:id="rId15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Auga paskolos:</w:t>
      </w:r>
      <w:r>
        <w:rPr>
          <w:b w:val="0"/>
        </w:rPr>
        <w:t xml:space="preserve"> paskolos klientams 5 951 mln. EUR (+8,9 % nuo 2025 m. pab.; apskaičiuota įrankio), indėliai 7 735 mln. EUR</w:t>
      </w:r>
      <w:hyperlink r:id="rId16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XS2822574245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5.375% senior notes 2028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5,375 %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2028-05-24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(class rating, 2025-09-01))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 (holding company); callable 2027-05-24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XS3153067288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5.5% Tier 2 2035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2035-09-16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 Tier 2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EE3300004993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6.0% Tier 2 2034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6,0 %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2034-11-15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 Tier 2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XS2693753704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senior FRN 2027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2027-10-03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(class rating, 2025-09-01))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 (holding company), floating rate; coupon not found in public sources read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XS3042781024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9.5% AT1 perpetual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1, perpetual; call date not found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XS3090105829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4.125% senior notes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4,125 %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2029-06-18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(class rating, 2025-09-01))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 (holding company); callable 2028-06-18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150,3*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117,0*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86,23*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81,91*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5,0 %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Grynosios palūkanų 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273,3*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235,1*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175,18*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190,57*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8,8 %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veiklos 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338,3*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304,8*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225,95*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232,69*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3,0 %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Sąnaudų ir pajamų santykis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43,4 %*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52,3 %*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51,7 %*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57,0 %*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5,3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16,0 %*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16,1 %*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14,0 %*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2,1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palūkanų marža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3,48 %*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2,49 %*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2,57 %*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2,51 %*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0,06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Paskolos klientams,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4 552*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5 465,4*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5 234,3*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5 951,0*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13,7 %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Klientų indėliai,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6 910*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8 134,4*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7 452,9*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7 735,3*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3,8 %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rodiklis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16,89 %*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17,04 %*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15,28 %*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1,76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Bendrasis kapitalo rodiklis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20,68 %*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22,39 %*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20,25 %*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3,05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Sverto rodiklis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6,71 %*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7,0 %*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0,29 p. p. vs FY2024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MREL (% TREA)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33,24 %*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34,73 %*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35,04 %*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0,31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187,5 %*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185,0 %*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173,9 %*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11,1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154,4 %*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156,8 %*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2,4 p. p. vs FY2024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Neveiksnių paskolų dalis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1,2 %ᶜ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hv_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Grynosios palūkanų pajamos per 9 mėn. 190,6 mln. EUR (+8,8 %), visos pajamos 232,7 mln. EUR (+3,0 %; pokyčiai apskaičiuoti įrankio). Palūkanų marža III ketv. 2,80 % (prieš metus 2,36 %)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Sąnaudų / pajamų santykis per 9 mėn. 57,0 % (prieš metus 51,7 %). III ketv. atleista 8,9 mln. EUR atidėjinių, todėl paskolų nuostoliai neigiamo poveikio neturėjo</w:t>
      </w:r>
      <w:hyperlink r:id="rId16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LHV Bank (JK) atsilieka nuo plano:</w:t>
      </w:r>
      <w:r>
        <w:rPr>
          <w:b w:val="0"/>
        </w:rPr>
        <w:t xml:space="preserve"> pelnas iki mokesčių 4,7 mln. GBP, planuota 7,2 mln.; rugsėjį įneštas 10 mln. GBP CET1 kapitalas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Trečios stadijos (neveiksnios) paskolos – 72,4 mln. EUR, apie 1,2 % paskolų (apskaičiuota įrankio)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grynasis pelnas 117,0 mln. EUR (2024 m. – 150,3 mln.), ROE 16,0 % (24,5 %): krito palūkanų normos, todėl sumažėjo palūkanų pajamos. 2025 m. tikslų bankas nepasiekė, pelningumas buvo 6,5 % mažesnis</w:t>
      </w:r>
      <w:hyperlink r:id="rId1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pabaigos kapitalo rodikliai perskaičiuoti po ECB patikrinimo: CET1 17,04 % (metinėje ataskaitoje – 17,42 %), bendras kapitalas 22,39 % (22,85 %). ECB skyrė 0,4 mln. EUR baudą dėl neteisingai apskaičiuoto rizikos svertinio turto, susijusio su investicija į JK įmonę</w:t>
      </w:r>
      <w:hyperlink r:id="rId15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Dividendai:</w:t>
      </w:r>
      <w:r>
        <w:rPr>
          <w:b w:val="0"/>
        </w:rPr>
        <w:t xml:space="preserve"> per 9 mėn. 2026 m. išmokėta 57,9 mln. EUR; dividendas akcijai už 2025 m. – 0,09 EUR (už 2024 m. – 0,13 EUR)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20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 m. finansinis planas: 117,9 mln. EUR grynojo pelno, ROE 15,0 %, bendras kapitalas 20,9 %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 9 mėn. – 81,9 mln. EUR pelno, ROE 14,0 %; vadovybė tikisi tikslus pasiekti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Vykdoma: III ketv. rezultatai lenkia planą, nes padidėjo palūkanų pajamos ir atleisti atidėjiniai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b w:val="0"/>
                <w:sz w:val="17"/>
              </w:rPr>
              <w:t>. Kapitalas (20,25 %) šiuo metu žemiau plano 20,9 %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 m. finansinis planas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Nepasiektas: pelningumas 6,5 % mažesnis už planą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Nepasiekta: palūkanų normos krito greičiau, palūkanų pajamos sumažėjo nuo 273,3 iki 235,1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</w:pPr>
            <w:r>
              <w:rPr>
                <w:b/>
                <w:sz w:val="17"/>
              </w:rPr>
              <w:t>Neįvykdyta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Iki 2030 m. daugiau nei dvigubai padidinti grynąjį pelną (planas 2030 m. – 290,2 mln. EUR), ROE tikslas 20 %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Ilgalaikis tikslas; 2026 m. eiga – pagal planą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tikslas, paskelbtas 2025 m. ataskaitoje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Dividendų politika: dividendai su mokesčiais – 25 % pelno iki mokesčių, nepažeidžiant kapitalo tikslų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Už 2025 m. – 0,09 EUR akcijai; 2026 m. plane – 0,08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26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 pagal politiką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27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Turimos priemonės (visos – LHV Group, kontroliuojančiosios bendrovės):</w:t>
      </w:r>
      <w:r>
        <w:rPr>
          <w:b w:val="0"/>
        </w:rPr>
        <w:t xml:space="preserve"> trys pirmaeilės (senior unsecured) obligacijos – 5,375 % 2028 (pirkimo teisė 2027-05-24, 300 mln. EUR), 4,125 % 2029 (pirkimo teisė 2028-06-18, 60 mln. EUR) ir kintamos palūkanų normos 2027-10-03 (100 mln. EUR); dvi Tier 2 – 6,0 % 2034 (20 mln. EUR) ir 5,5 % 2035 (80 mln. EUR); AT1 9,5 % neterminuota (50 mln. EUR)</w:t>
      </w:r>
      <w:hyperlink r:id="rId30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color w:val="2A78D6"/>
          <w:vertAlign w:val="superscript"/>
        </w:rPr>
        <w:t>,</w:t>
      </w:r>
      <w:hyperlink r:id="rId32">
        <w:r>
          <w:rPr>
            <w:color w:val="2A78D6"/>
            <w:vertAlign w:val="superscript"/>
            <w:sz w:val="17"/>
          </w:rPr>
          <w:t xml:space="preserve">30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Reitingas:</w:t>
      </w:r>
      <w:r>
        <w:rPr>
          <w:b w:val="0"/>
        </w:rPr>
        <w:t xml:space="preserve"> Moody's LHV Group pirmaeilėms obligacijoms – Baa2 su teigiama perspektyva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Subordinuotoms obligacijoms:</w:t>
      </w:r>
      <w:r>
        <w:rPr>
          <w:b w:val="0"/>
        </w:rPr>
        <w:t xml:space="preserve"> bendras kapitalas 20,25 % viršija vidinį 20,0 % tikslą tik nedaug, o MREL 35,04 % yra virš 30,59 % ribos, nuo kurios priklauso dividendų mokėjimas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AT1 kuponų mokėjimui tai reiškia didesnį jautrumą kapitalui nei senior obligacijoms.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2026 m. finansavimas:</w:t>
      </w:r>
      <w:r>
        <w:rPr>
          <w:b w:val="0"/>
        </w:rPr>
        <w:t xml:space="preserve"> išleista nauja 200 mln. EUR 4,50 % senior obligacija (2030) ir 15 mln. EUR 8,0 % AT1; anksčiau laiko išpirkta 20 mln. EUR 7,0 % obligacija EE3300003250</w:t>
      </w:r>
      <w:hyperlink r:id="rId31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color w:val="2A78D6"/>
          <w:vertAlign w:val="superscript"/>
        </w:rPr>
        <w:t>,</w:t>
      </w:r>
      <w:hyperlink r:id="rId32">
        <w:r>
          <w:rPr>
            <w:color w:val="2A78D6"/>
            <w:vertAlign w:val="superscript"/>
            <w:sz w:val="17"/>
          </w:rPr>
          <w:t xml:space="preserve">30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pelningumas atsigauna ir planas vykdomas, likvidumas bei MREL – su atsarga. Kapitalo atsarga sumažėjo, tačiau bankas laikosi vidinio tikslo.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Didesnės palūkanos – didesnės pajamos:</w:t>
      </w:r>
      <w:r>
        <w:rPr>
          <w:b w:val="0"/>
        </w:rPr>
        <w:t xml:space="preserve"> III ketv. grynosios palūkanų pajamos 68,8 mln. EUR (+24 % per metus); vadovybės teigimu, pajamos viršija planą dėl aukštesnių nei tikėtasi rinkos palūkanų ir stiprios paskolų paklausos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Palūkanų aplinka:</w:t>
      </w:r>
      <w:r>
        <w:rPr>
          <w:b w:val="0"/>
        </w:rPr>
        <w:t xml:space="preserve"> ECB padidino indėlių normą iki 2,50 %, 6 mėn. Euribor rugsėjo pabaigoje pakilo iki 3,0 %, 12 mėn. – apie 3,3 %</w:t>
      </w:r>
      <w:hyperlink r:id="rId33">
        <w:r>
          <w:rPr>
            <w:color w:val="2A78D6"/>
            <w:vertAlign w:val="superscript"/>
            <w:sz w:val="17"/>
          </w:rPr>
          <w:t xml:space="preserve">31</w:t>
        </w:r>
      </w:hyperlink>
      <w:r>
        <w:rPr>
          <w:b w:val="0"/>
        </w:rPr>
        <w:t>. Estijoje infliacija rugsėjį paspartėjo iki 3,5 %</w:t>
      </w:r>
      <w:hyperlink r:id="rId34">
        <w:r>
          <w:rPr>
            <w:color w:val="2A78D6"/>
            <w:vertAlign w:val="superscript"/>
            <w:sz w:val="17"/>
          </w:rPr>
          <w:t xml:space="preserve">32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vadovybė tikina, kad finansinio plano tikslai bus pasiekti – rodikliai geresni nei planuota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3,43 %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EE), 2026-07-24 – 2026-10-22: 11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INTERVJUU ⟩ Coop Panga juht: me oleme rõõmsad LHVst tulevate töötajate ja klientide üle</w:t>
              </w:r>
            </w:hyperlink>
            <w:r>
              <w:rPr>
                <w:b w:val="0"/>
                <w:color w:val="667085"/>
                <w:sz w:val="15"/>
              </w:rPr>
              <w:t xml:space="preserve">   Majandus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LHV juhatuse liige: ettevõtjad mängivad ellujäämise mängu. “Ärge kartke Rain Lõhmust!”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REZULTATAI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LHV Groupi 2026. aasta III kvartali ja 9 kuu auditeerimata majandustulemused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  ·  dar 2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REZULTATAI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AS LHV Group 2026. aasta III kvartali majandustulemuste tutvustamise veebiseminar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Kuhu investeeriti LHV Kasvukontoga III kvartalis 2026?</w:t>
              </w:r>
            </w:hyperlink>
            <w:r>
              <w:rPr>
                <w:b w:val="0"/>
                <w:color w:val="667085"/>
                <w:sz w:val="15"/>
              </w:rPr>
              <w:t xml:space="preserve">   LHV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LHV Groupi 20. oktoobri investorkohtumise salvestus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LHV Bank Limited tegevjuhiks nimetati Damian Thompson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2">
              <w:r>
                <w:rPr>
                  <w:color w:val="1B2430"/>
                  <w:sz w:val="18"/>
                </w:rPr>
                <w:t xml:space="preserve">Mis aktsiaid ostsid ja müüsid LHV kliendid septembris?</w:t>
              </w:r>
            </w:hyperlink>
            <w:r>
              <w:rPr>
                <w:b w:val="0"/>
                <w:color w:val="667085"/>
                <w:sz w:val="15"/>
              </w:rPr>
              <w:t xml:space="preserve">   LHV Finantsportaal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Bankas nevykdo veiklos išskirtuose sektoriuose.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Viešai skelbiamas veiklų, kurios prieštarauja kredito politikai, sąrašas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Kredito politika draudžia finansuoti klientus, kurių veikla aiškiai pažeidžia žmogaus teises ar daro rimtą žalą aplinkai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 JT Pasauliniu susitarimu ar EBPO gairėmis susijusių ginčų nerasta (greita paieška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Vienintelė priežiūros sankcija – 0,4 mln. EUR ECB bauda dėl rizikos svertinio turto skaičiavimo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apie LHV nerasta (paieška estų ir anglų k.,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Svarbiausia byla, kurioje LHV yra reikalaujanti šalis: 2025-07 bankas pranešė Pinigų plovimo duomenų biurui ketinantis reikalauti 247,5 mln. EUR baudos, nes biuras be teisinio pagrindo 1 289 kartus gavo LHV klientų sąskaitų išrašus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2026-07-24 – 2026-10-22: 11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Tvarūs produktai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Energiją taupančių būstų paskolos, elektromobilių lizingas, daugiabučių renovacijos ir energetikos projektų paskolos, EIF tvarių paskolų programa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Tikslai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Bent 50 % naujų būsto paskolų – A ir B energinės klasės, 100 % elektros iš atsinaujinančių šaltinių iki 2030 m.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Nuo 2030 m. nebus finansuojami nauji dyzeliniai lengvieji automobiliai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Siekia prisidėti prie Paryžiaus susitarimo tikslų ir perėjimo prie klimatui neutralios ekonomikos iki 2050 m.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Žaliojo turto santykis – 4,86 %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neturi bankų sektoriaus politikos, todėl taikoma investicijų politika bei aplinkosaugos ir socialinė / žmogaus teisių politikos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40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Veiklų išimčių sąrašas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Žmogaus teisių ir aplinkos kriterijai kredito politikoje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Žmogaus teisių rizikų vertinimas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41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Klimato tikslai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ESG politika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Finansuojamos emisijos (PCAF) skaičiais neskelbiamos</w:t>
            </w:r>
            <w:hyperlink r:id="rId51">
              <w:r>
                <w:rPr>
                  <w:color w:val="2A78D6"/>
                  <w:vertAlign w:val="superscript"/>
                  <w:sz w:val="15"/>
                </w:rPr>
                <w:t xml:space="preserve">42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bankas pelningas, likvidumas ir MREL – su atsarga, ESG praktika tvarkinga.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Nuosavos 1 apimties emisijos – 0 t CO2e, 3 apimties – 573 454 t CO2e 2025 m.</w:t>
            </w:r>
            <w:hyperlink r:id="rId52">
              <w:r>
                <w:rPr>
                  <w:color w:val="2A78D6"/>
                  <w:vertAlign w:val="superscript"/>
                  <w:sz w:val="15"/>
                </w:rPr>
                <w:t xml:space="preserve">43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Žaliojo turto santykis 4,86 %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Moterų dalis grupės valdyboje ir taryboje – 30 %</w:t>
            </w:r>
            <w:hyperlink r:id="rId53">
              <w:r>
                <w:rPr>
                  <w:color w:val="2A78D6"/>
                  <w:vertAlign w:val="superscript"/>
                  <w:sz w:val="15"/>
                </w:rPr>
                <w:t xml:space="preserve">44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Tvarūs produktai ir aiškūs klimato tikslai; finansuojamos emisijos kol kas neskelbiamos skaičiais.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LHV Group - Credit rating,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LHV Group - Interim report January-September 2026,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LHV Group - Interim report January-September 2026, p. 4, 6,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LHV Group - Interim report January-September 2026, p. 10-11,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LHV Group - Interim report January-September 2026, p. 6,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4">
        <w:r>
          <w:rPr>
            <w:color w:val="2A78D6"/>
            <w:sz w:val="17"/>
          </w:rPr>
          <w:t xml:space="preserve">LHV Group - Interim report January-September 2026, p. 4,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LHV Group - Financial forecasts (financial plan 2026),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5">
        <w:r>
          <w:rPr>
            <w:color w:val="2A78D6"/>
            <w:sz w:val="17"/>
          </w:rPr>
          <w:t xml:space="preserve">LHV Group - Interim report January-September 2026, p. 10,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6">
        <w:r>
          <w:rPr>
            <w:color w:val="2A78D6"/>
            <w:sz w:val="17"/>
          </w:rPr>
          <w:t xml:space="preserve">LHV Group - Interim report January-September 2026, p. 6, 19,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LHV Group - Consolidated annual report 2025,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9">
        <w:r>
          <w:rPr>
            <w:color w:val="2A78D6"/>
            <w:sz w:val="17"/>
          </w:rPr>
          <w:t xml:space="preserve">LHV Group - Consolidated annual report 2025,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LHV Group - Consolidated annual report 2025, p. 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1">
        <w:r>
          <w:rPr>
            <w:color w:val="2A78D6"/>
            <w:sz w:val="17"/>
          </w:rPr>
          <w:t xml:space="preserve">LHV Group - Interim report January-September 2026, p. 19,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LHV Group - Interim report January-September 2026, p. 11,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LHV Group - Interim report January-September 2026, p. 2,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LHV Group - Interim report January-September 2026, p. 12,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16">
        <w:r>
          <w:rPr>
            <w:color w:val="2A78D6"/>
            <w:sz w:val="17"/>
          </w:rPr>
          <w:t xml:space="preserve">LHV Group - Interim report January-September 2026, p. 6, 18,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LHV Group - Interim report January-September 2026, p. 15,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19">
        <w:r>
          <w:rPr>
            <w:color w:val="2A78D6"/>
            <w:sz w:val="17"/>
          </w:rPr>
          <w:t xml:space="preserve">LHV Group - Consolidated annual report 2025, p. 8, 14-15,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7">
        <w:r>
          <w:rPr>
            <w:color w:val="2A78D6"/>
            <w:sz w:val="17"/>
          </w:rPr>
          <w:t xml:space="preserve">LHV Group - Consolidated annual report 2025,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LHV Group - Interim report January-September 2026, p. 20,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14">
        <w:r>
          <w:rPr>
            <w:color w:val="2A78D6"/>
            <w:sz w:val="17"/>
          </w:rPr>
          <w:t xml:space="preserve">LHV Group - Interim report January-September 2026, p. 4, 6, 18,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19">
        <w:r>
          <w:rPr>
            <w:color w:val="2A78D6"/>
            <w:sz w:val="17"/>
          </w:rPr>
          <w:t xml:space="preserve">LHV Group - Consolidated annual report 2025, p. 8,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29">
        <w:r>
          <w:rPr>
            <w:color w:val="2A78D6"/>
            <w:sz w:val="17"/>
          </w:rPr>
          <w:t xml:space="preserve">LHV Group - Consolidated annual report 2025, p. 7,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29">
        <w:r>
          <w:rPr>
            <w:color w:val="2A78D6"/>
            <w:sz w:val="17"/>
          </w:rPr>
          <w:t xml:space="preserve">LHV Group - Consolidated annual report 2025,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20">
        <w:r>
          <w:rPr>
            <w:color w:val="2A78D6"/>
            <w:sz w:val="17"/>
          </w:rPr>
          <w:t xml:space="preserve">LHV Group - Consolidated annual report 2025, p. 15, 18, 26-27,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20">
        <w:r>
          <w:rPr>
            <w:color w:val="2A78D6"/>
            <w:sz w:val="17"/>
          </w:rPr>
          <w:t xml:space="preserve">LHV Group - Consolidated annual report 2025, p. 15,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0">
        <w:r>
          <w:rPr>
            <w:color w:val="2A78D6"/>
            <w:sz w:val="17"/>
          </w:rPr>
          <w:t xml:space="preserve">LHV Group - Consolidated annual report 2025,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1">
        <w:r>
          <w:rPr>
            <w:color w:val="2A78D6"/>
            <w:sz w:val="17"/>
          </w:rPr>
          <w:t xml:space="preserve">LHV Group - Senior bonds,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32">
        <w:r>
          <w:rPr>
            <w:color w:val="2A78D6"/>
            <w:sz w:val="17"/>
          </w:rPr>
          <w:t xml:space="preserve">LHV Group - Subordinated bonds,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33">
        <w:r>
          <w:rPr>
            <w:color w:val="2A78D6"/>
            <w:sz w:val="17"/>
          </w:rPr>
          <w:t xml:space="preserve">LHV Group - Interim report January-September 2026, p. 7,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34">
        <w:r>
          <w:rPr>
            <w:color w:val="2A78D6"/>
            <w:sz w:val="17"/>
          </w:rPr>
          <w:t xml:space="preserve">LHV Group - Interim report January-September 2026, p. 8,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3">
        <w:r>
          <w:rPr>
            <w:color w:val="2A78D6"/>
            <w:sz w:val="17"/>
          </w:rPr>
          <w:t xml:space="preserve">LHV - ESG,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4">
        <w:r>
          <w:rPr>
            <w:color w:val="2A78D6"/>
            <w:sz w:val="17"/>
          </w:rPr>
          <w:t xml:space="preserve">LHV Group - Annual sustainability report 2025, p. 80,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5">
        <w:r>
          <w:rPr>
            <w:color w:val="2A78D6"/>
            <w:sz w:val="17"/>
          </w:rPr>
          <w:t xml:space="preserve">ERR - LHV nõuab rahapesu andmebüroolt pangasaladuse asjas 247 miljonit, 2025-07-25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46">
        <w:r>
          <w:rPr>
            <w:color w:val="2A78D6"/>
            <w:sz w:val="17"/>
          </w:rPr>
          <w:t xml:space="preserve">LHV Group - Annual sustainability report 2025, p. 97,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47">
        <w:r>
          <w:rPr>
            <w:color w:val="2A78D6"/>
            <w:sz w:val="17"/>
          </w:rPr>
          <w:t xml:space="preserve">LHV Group - Annual sustainability report 2025, p. 81,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44">
        <w:r>
          <w:rPr>
            <w:color w:val="2A78D6"/>
            <w:sz w:val="17"/>
          </w:rPr>
          <w:t xml:space="preserve">LHV Group - Annual sustainability report 2025, p. 80, 86,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39.</w:t>
        <w:tab/>
      </w:r>
      <w:hyperlink r:id="rId48">
        <w:r>
          <w:rPr>
            <w:color w:val="2A78D6"/>
            <w:sz w:val="17"/>
          </w:rPr>
          <w:t xml:space="preserve">LHV Group - Annual sustainability report 2025, p. 95,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40.</w:t>
        <w:tab/>
      </w:r>
      <w:hyperlink r:id="rId49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41.</w:t>
        <w:tab/>
      </w:r>
      <w:hyperlink r:id="rId50">
        <w:r>
          <w:rPr>
            <w:color w:val="2A78D6"/>
            <w:sz w:val="17"/>
          </w:rPr>
          <w:t xml:space="preserve">LHV Group - Annual sustainability report 2025, p. 90,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42.</w:t>
        <w:tab/>
      </w:r>
      <w:hyperlink r:id="rId51">
        <w:r>
          <w:rPr>
            <w:color w:val="2A78D6"/>
            <w:sz w:val="17"/>
          </w:rPr>
          <w:t xml:space="preserve">LHV Group - Annual sustainability report 2025, p. 88,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43.</w:t>
        <w:tab/>
      </w:r>
      <w:hyperlink r:id="rId52">
        <w:r>
          <w:rPr>
            <w:color w:val="2A78D6"/>
            <w:sz w:val="17"/>
          </w:rPr>
          <w:t xml:space="preserve">LHV Group - Annual sustainability report 2025, p. 98,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44.</w:t>
        <w:tab/>
      </w:r>
      <w:hyperlink r:id="rId53">
        <w:r>
          <w:rPr>
            <w:color w:val="2A78D6"/>
            <w:sz w:val="17"/>
          </w:rPr>
          <w:t xml:space="preserve">LHV Group - Annual sustainability report 2025, p. 85,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LHV Group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LHV Group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LHV Group</w:t>
    </w:r>
    <w:r>
      <w:rPr>
        <w:b w:val="0"/>
        <w:color w:val="667085"/>
        <w:sz w:val="16"/>
      </w:rPr>
      <w:tab/>
      <w:t>Emitento apžvalga · 9M2026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nvestor.lhv.ee/en/credit-rating" TargetMode="External"/><Relationship Id="rId13" Type="http://schemas.openxmlformats.org/officeDocument/2006/relationships/hyperlink" Target="https://www.lhv.ee/assets/files/investor/LHV_Group_Interim_Report_2026-Q3_EN.pdf" TargetMode="External"/><Relationship Id="rId14" Type="http://schemas.openxmlformats.org/officeDocument/2006/relationships/hyperlink" Target="https://www.lhv.ee/assets/files/investor/LHV_Group_Interim_Report_2026-Q3_EN.pdf#page=4" TargetMode="External"/><Relationship Id="rId15" Type="http://schemas.openxmlformats.org/officeDocument/2006/relationships/hyperlink" Target="https://www.lhv.ee/assets/files/investor/LHV_Group_Interim_Report_2026-Q3_EN.pdf#page=10" TargetMode="External"/><Relationship Id="rId16" Type="http://schemas.openxmlformats.org/officeDocument/2006/relationships/hyperlink" Target="https://www.lhv.ee/assets/files/investor/LHV_Group_Interim_Report_2026-Q3_EN.pdf#page=6" TargetMode="External"/><Relationship Id="rId17" Type="http://schemas.openxmlformats.org/officeDocument/2006/relationships/hyperlink" Target="https://investor.lhv.ee/en/financial-forecasts" TargetMode="External"/><Relationship Id="rId18" Type="http://schemas.openxmlformats.org/officeDocument/2006/relationships/hyperlink" Target="https://www.lhv.ee/assets/files/investor/LHV_Group_Annual_Report_2025-EN.pdf#page=14" TargetMode="External"/><Relationship Id="rId19" Type="http://schemas.openxmlformats.org/officeDocument/2006/relationships/hyperlink" Target="https://www.lhv.ee/assets/files/investor/LHV_Group_Annual_Report_2025-EN.pdf#page=8" TargetMode="External"/><Relationship Id="rId20" Type="http://schemas.openxmlformats.org/officeDocument/2006/relationships/hyperlink" Target="https://www.lhv.ee/assets/files/investor/LHV_Group_Annual_Report_2025-EN.pdf#page=15" TargetMode="External"/><Relationship Id="rId21" Type="http://schemas.openxmlformats.org/officeDocument/2006/relationships/hyperlink" Target="https://www.lhv.ee/assets/files/investor/LHV_Group_Interim_Report_2026-Q3_EN.pdf#page=19" TargetMode="External"/><Relationship Id="rId22" Type="http://schemas.openxmlformats.org/officeDocument/2006/relationships/hyperlink" Target="https://www.lhv.ee/assets/files/investor/LHV_Group_Interim_Report_2026-Q3_EN.pdf#page=11" TargetMode="External"/><Relationship Id="rId23" Type="http://schemas.openxmlformats.org/officeDocument/2006/relationships/hyperlink" Target="https://www.lhv.ee/assets/files/investor/LHV_Group_Interim_Report_2026-Q3_EN.pdf#page=2" TargetMode="External"/><Relationship Id="rId24" Type="http://schemas.openxmlformats.org/officeDocument/2006/relationships/hyperlink" Target="https://www.lhv.ee/assets/files/investor/LHV_Group_Interim_Report_2026-Q3_EN.pdf#page=12" TargetMode="External"/><Relationship Id="rId25" Type="http://schemas.openxmlformats.org/officeDocument/2006/relationships/image" Target="media/image1.png"/><Relationship Id="rId26" Type="http://schemas.openxmlformats.org/officeDocument/2006/relationships/hyperlink" Target="https://www.lhv.ee/assets/files/investor/LHV_Group_Interim_Report_2026-Q3_EN.pdf#page=15" TargetMode="External"/><Relationship Id="rId27" Type="http://schemas.openxmlformats.org/officeDocument/2006/relationships/hyperlink" Target="https://www.lhv.ee/assets/files/investor/LHV_Group_Annual_Report_2025-EN.pdf#page=13" TargetMode="External"/><Relationship Id="rId28" Type="http://schemas.openxmlformats.org/officeDocument/2006/relationships/hyperlink" Target="https://www.lhv.ee/assets/files/investor/LHV_Group_Interim_Report_2026-Q3_EN.pdf#page=20" TargetMode="External"/><Relationship Id="rId29" Type="http://schemas.openxmlformats.org/officeDocument/2006/relationships/hyperlink" Target="https://www.lhv.ee/assets/files/investor/LHV_Group_Annual_Report_2025-EN.pdf#page=7" TargetMode="External"/><Relationship Id="rId30" Type="http://schemas.openxmlformats.org/officeDocument/2006/relationships/hyperlink" Target="https://www.lhv.ee/assets/files/investor/LHV_Group_Annual_Report_2025-EN.pdf#page=17" TargetMode="External"/><Relationship Id="rId31" Type="http://schemas.openxmlformats.org/officeDocument/2006/relationships/hyperlink" Target="https://investor.lhv.ee/en/senior-bonds" TargetMode="External"/><Relationship Id="rId32" Type="http://schemas.openxmlformats.org/officeDocument/2006/relationships/hyperlink" Target="https://investor.lhv.ee/en/subordinated-bonds" TargetMode="External"/><Relationship Id="rId33" Type="http://schemas.openxmlformats.org/officeDocument/2006/relationships/hyperlink" Target="https://www.lhv.ee/assets/files/investor/LHV_Group_Interim_Report_2026-Q3_EN.pdf#page=7" TargetMode="External"/><Relationship Id="rId34" Type="http://schemas.openxmlformats.org/officeDocument/2006/relationships/hyperlink" Target="https://www.lhv.ee/assets/files/investor/LHV_Group_Interim_Report_2026-Q3_EN.pdf#page=8" TargetMode="External"/><Relationship Id="rId35" Type="http://schemas.openxmlformats.org/officeDocument/2006/relationships/hyperlink" Target="https://news.google.com/rss/articles/CBMivwFBVV95cUxONm9VeVpXVHYxSXd2Wlh0andtUlRRZ2E2bGl2ZUFOMjdRR2xnVEJZUXpBdlNVSXZJOEV1TmkwMHRTZ2tmRUVoSkZlazlCTlFNUHRRbmVXZDBFalJjc09jaHFhYUNoRnk3VU80UzN0WTNxN1NYdGdDOGZrYlI1dmtXMzlzZ3lVUVViU3RwMVVKY0EybEZnYjNucy1iSkZRT3JyRlBPdDNMQ1FnMDQwUGgtNzB4OVhhWi0tbmp3cDlSaw?oc=5" TargetMode="External"/><Relationship Id="rId36" Type="http://schemas.openxmlformats.org/officeDocument/2006/relationships/hyperlink" Target="https://news.google.com/rss/articles/CBMivwFBVV95cUxOMmt4MWFpZTd3cVZPaXlnMW52VVJJTE53aXdZRHF5TGg5RUwxSkx3b1hhNlJManpZUjhra0lneWpvY0EwamZyelg5UkhVaEp0WGRHNGNsMWhRZFFlV1JwTVA2Sk9HLVZOaXY2S1kyVnF4R0dTcUE4dkk5VlQwcGtkZ3VrS3Bnd0pDUzBobThZaGJrYzFhZ1cwWmozWWtHczJOT19VekJFeUY4cVA5LVduYm5WNnZHbHJWLWlseENLWQ?oc=5" TargetMode="External"/><Relationship Id="rId37" Type="http://schemas.openxmlformats.org/officeDocument/2006/relationships/hyperlink" Target="https://news.google.com/rss/articles/CBMi4AFBVV95cUxQcjZ6aFlUblFvUGpOVUtHNTczb3EycnZWektmX1RxZnJVRWJDLUV0Y09XOGEzRXVyZDByaHVoOFcxNWZ0RFU2YkZScm56RmRuRk1qUnQ5U1ZuY0ZSdU8yU2lBRS02eUxnaGc3Q09TS0FxSENfcERkMGJ2eUlMRVA1dXR5QUhDRi1RRHJNTVl0R3djQUZsNkNkSENkbGhqYW9yeXBTY2poQWp5V3Bxa2QxSW9KT3M3MUJCQ1h2dTR6V2NYajl4Y0VTOUl3V042bjZfQVlXbF9kQkFiMHhWcFNOdw?oc=5" TargetMode="External"/><Relationship Id="rId38" Type="http://schemas.openxmlformats.org/officeDocument/2006/relationships/hyperlink" Target="https://news.google.com/rss/articles/CBMi5wFBVV95cUxNa1VObWFzdjl6MlgzVVQzN2UxUk9mcmRDNEhoRG9vTGI0UlBfSHpPcWhEN1RNcy1vVjloNnJXemdIWm8xN0JBZG1Tb0N1TFlSSTc3UnB2WWIzcWhZVlcyZ2d1VHBIZ3ZFcHNEVWNLbFZKWF9pTkozZTk1ZWVFMTNDSTNPNlJIYTh4Z0tfQjRyMmFRdDdabUJNbG9hb2dVS1Zjd1dWaEprdzdiNEVTX3U2ZDBkSEFidWdGS2VENjY1andCRHFuWlB4SUl6UXVTczg2U2d5MkJnZU56WWVjLTRZWm1KUmF3eUE?oc=5" TargetMode="External"/><Relationship Id="rId39" Type="http://schemas.openxmlformats.org/officeDocument/2006/relationships/hyperlink" Target="https://news.google.com/rss/articles/CBMiiAFBVV95cUxPbXZDSUZmbEdIaXFMbTlubzZuTTREaEE1cFpGYUR4dTVVeEpaY0x5OGZORnBOQ2VZMGt5OXp5NkM4SGFoZ0FNcmtUUEk3SjZpYm9SaFl3bTBYVXFaVV9lRUwtbXBkNVViOURNQ2RSWXFLblI4eGItSlBoVGlPcnJXaHVXYUlxVDBh?oc=5" TargetMode="External"/><Relationship Id="rId40" Type="http://schemas.openxmlformats.org/officeDocument/2006/relationships/hyperlink" Target="https://news.google.com/rss/articles/CBMivwFBVV95cUxOeUR2R2JZZ25DMmR2RWhxUW9DY3ZucXZUdkM5WWZwa3VaWHdjRHRvVHBkMGQzbmcwaUV4OGJVS3dNX1p3bEVWZEx3VzRyZ3F6alM3TWhDNDdsT1hEbUVvcFpiOVpIOGpYREhZV3UwOXJrNmsyTFVYaENObzZPWTdhRzE1U0x1ajRuYTVEMnR0VldRSkwzaUlBUGk4MDM2R1dWejYxR0pMZ2NzanJWT3NNUTdKRWVrb08zSkNiQndzMA?oc=5" TargetMode="External"/><Relationship Id="rId41" Type="http://schemas.openxmlformats.org/officeDocument/2006/relationships/hyperlink" Target="https://news.google.com/rss/articles/CBMiwwFBVV95cUxNWmVtZ2tNYXNISUQwNEVmUlh5bmRYdU5jMnRXQjdDcFFPaElxU2VuaDZMbklGMmJuTTNRM1F6LXNKSjNONkpkRlk2YjU3OXR2VlNlQS1MTlRyZjM0YmJGRFlYY0dYNmZfRWp4enJtT2FDUFVXdXRiR0FCTUFfaWpEaTlsQzBhWmpBOEhKSnJYWjFRWnpvY1N0OUZ3OVpNVHZyeFZGRVotVDctRzF6bVZVN0xYU0tmNjJLWkUyVnNka1FiSFE?oc=5" TargetMode="External"/><Relationship Id="rId42" Type="http://schemas.openxmlformats.org/officeDocument/2006/relationships/hyperlink" Target="https://news.google.com/rss/articles/CBMiiwFBVV95cUxNVS1KeHY5cWZFXzJ1M3R0dW55NzNQOFRfNzNpZG5oUWN6TG1qd1hGRURObUQ0U1dRRkVlbl9zNnU0cUZ6S21Oc0NqVUd3cUNEMzR2YjN6S29NSXEyeWxEQnRILWhoSnp5cmZhM2l2MGl0Q2NUWl9UVjMxMDBWZnlhaFVvdW9QelFLWXc0?oc=5" TargetMode="External"/><Relationship Id="rId43" Type="http://schemas.openxmlformats.org/officeDocument/2006/relationships/hyperlink" Target="https://www.lhv.ee/en/esg" TargetMode="External"/><Relationship Id="rId44" Type="http://schemas.openxmlformats.org/officeDocument/2006/relationships/hyperlink" Target="https://www.lhv.ee/assets/files/LHV_Group_Annual_Sustainability_Report_2025-EN.pdf#page=80" TargetMode="External"/><Relationship Id="rId45" Type="http://schemas.openxmlformats.org/officeDocument/2006/relationships/hyperlink" Target="https://www.err.ee/1609754001/lhv-nouab-rahapesu-andmeburoolt-pangasaladuse-asjas-247-miljonit" TargetMode="External"/><Relationship Id="rId46" Type="http://schemas.openxmlformats.org/officeDocument/2006/relationships/hyperlink" Target="https://www.lhv.ee/assets/files/LHV_Group_Annual_Sustainability_Report_2025-EN.pdf#page=97" TargetMode="External"/><Relationship Id="rId47" Type="http://schemas.openxmlformats.org/officeDocument/2006/relationships/hyperlink" Target="https://www.lhv.ee/assets/files/LHV_Group_Annual_Sustainability_Report_2025-EN.pdf#page=81" TargetMode="External"/><Relationship Id="rId48" Type="http://schemas.openxmlformats.org/officeDocument/2006/relationships/hyperlink" Target="https://www.lhv.ee/assets/files/LHV_Group_Annual_Sustainability_Report_2025-EN.pdf#page=95" TargetMode="External"/><Relationship Id="rId49" Type="http://schemas.openxmlformats.org/officeDocument/2006/relationships/hyperlink" Target="https://sebgroup.com/sustainability/our-sustainability-strategy/policies" TargetMode="External"/><Relationship Id="rId50" Type="http://schemas.openxmlformats.org/officeDocument/2006/relationships/hyperlink" Target="https://www.lhv.ee/assets/files/LHV_Group_Annual_Sustainability_Report_2025-EN.pdf#page=90" TargetMode="External"/><Relationship Id="rId51" Type="http://schemas.openxmlformats.org/officeDocument/2006/relationships/hyperlink" Target="https://www.lhv.ee/assets/files/LHV_Group_Annual_Sustainability_Report_2025-EN.pdf#page=88" TargetMode="External"/><Relationship Id="rId52" Type="http://schemas.openxmlformats.org/officeDocument/2006/relationships/hyperlink" Target="https://www.lhv.ee/assets/files/LHV_Group_Annual_Sustainability_Report_2025-EN.pdf#page=98" TargetMode="External"/><Relationship Id="rId53" Type="http://schemas.openxmlformats.org/officeDocument/2006/relationships/hyperlink" Target="https://www.lhv.ee/assets/files/LHV_Group_Annual_Sustainability_Report_2025-EN.pdf#page=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