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3,551 %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4,042 %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7,375 %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Kapitalas ir likvidumas gerokai viršija reikalavimus, o Moody's po OTP Bank sandorio paskelbimo reitingą paliko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sumažėjo maždaug penktadaliu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7,75 % obligacija XS2633112565 išpirkta 2026 m. birželį ir nebėra apyvartoje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19,0 %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23,7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19,6 %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9,9 %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2,1 %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klientams 11 903,2 mln. EUR (+3,6 % nuo 2025 m. pab.), indėliai 12 275,5 mln. EUR (+6,6 %; pokyčiai apskaičiuoti įrankio)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1H – 214,4 mln. EUR; grynoji palūkanų marža 2,70 % (2025 m. – 2,71 %)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65,5 % (2025 m. – 64,7 %); rizikos kaina 0,14 % (0,01 %); neveiksnios paskolos 2,1 % (2,0 %)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1H 2026 išmokėta 74,0 mln. EUR dividendų už 2025 m.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157,7 mln. EUR (2024 m. – 202,2 mln., −22,0 %), ROE 8,6 %, CET1 20,2 %, bendras kapitalas 24,6 %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 2026 išleista 500 mln. EUR SNP; Moody's reitingą patvirtino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Numatyta IV ketv.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Palūkanos ir konkurencija:</w:t>
      </w:r>
      <w:r>
        <w:rPr>
          <w:b w:val="0"/>
        </w:rPr>
        <w:t xml:space="preserve"> grynosios palūkanų pajamos +1,6 % iki 111,2 mln. EUR dėl didesnių indėlių ir indėlių maržų kylant bazinėms palūkanoms, bet paskolų maržas mažino konkurencija; NIM 2,75 % (prieš metus 2,95 %)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išlaidos +3,2 % iki 90,5 mln. EUR, iš jų IT migracijos 20,3 mln. EUR; personalo išlaidos +16,6 % perimant veiklas ir samdant programuotojus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Dauguma sektoriaus mokesčių baigėsi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regiono perspektyvą vertina teigiamai ir IV ketv. planuoja 200 mln. EUR CET1 kapitalo sumažinimą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2026-10-13 Europos Komisija leido OTP Bank įsigyti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Dėmesio – pirkėjo ryšiai su Rusija:</w:t>
      </w:r>
      <w:r>
        <w:rPr>
          <w:b w:val="0"/>
        </w:rPr>
        <w:t xml:space="preserve"> 2026-09-28–29 spauda (remdamasi Bloomberg) rašė, kad tarp OTP klientų yra su „Gazprom“ siejamų įmonių ir kad OTP svarsto visiškai pasitraukti iš Rusijos. Tai susiję su pirkėju OTP, ne su Luminor veikla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2026-09-26 Latvijos spauda rašė, kad Luminor Bank anuliuoja 500 mln. EUR vertės obligacijas; kurios emisijos – antraštėje nenurodyta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2026-07-24 – 2026-10-22: 27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European Commission clears Luminor deal for OTP Bank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OTP Bank wins EU approval for Luminor while OTP Bank stock trades at EUR 114.05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grupę siekiantis įsigyti Vengrijos bankas OTP svarsto trauktis iš Rusijos</w:t>
              </w:r>
            </w:hyperlink>
            <w:r>
              <w:rPr>
                <w:b w:val="0"/>
                <w:color w:val="667085"/>
                <w:sz w:val="15"/>
              </w:rPr>
              <w:t xml:space="preserve">   LRT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„Luminor“ mažmeninei bankininkystei pradeda vadovauti Ieva Linkutė-Urbonė</w:t>
              </w:r>
            </w:hyperlink>
            <w:r>
              <w:rPr>
                <w:b w:val="0"/>
                <w:color w:val="667085"/>
                <w:sz w:val="15"/>
              </w:rPr>
              <w:t xml:space="preserve">   LRT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Luminor“ ekonomistas Žygimantas Mauricas: šilta žiema būtų geriausia dovana europiečių piniginėms</w:t>
              </w:r>
            </w:hyperlink>
            <w:r>
              <w:rPr>
                <w:b w:val="0"/>
                <w:color w:val="667085"/>
                <w:sz w:val="15"/>
              </w:rPr>
              <w:t xml:space="preserve">   Infoerdve.lt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Luminor lends €1.1M to fast-growing Latvian timber firm Rēzeknes Mežs</w:t>
              </w:r>
            </w:hyperlink>
            <w:r>
              <w:rPr>
                <w:b w:val="0"/>
                <w:color w:val="667085"/>
                <w:sz w:val="15"/>
              </w:rPr>
              <w:t xml:space="preserve">   Dealroom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auga (2025 m. – 305,4 mln. EUR)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viešuose šaltiniuose ir naujienose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dėl pinigų plovimo prevencijos neskelbta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2025 m. priežiūros pastaba – Finantsinspektsioon nurodymas dėl bazinių mokėjimo paslaugų tvarkos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Oy – Suomijos logistikos įmonė, susijusi su Siberica Oy (pagal ES sąrašo įrašą apie Gabriel Temin), ne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Logistics – slapyvardis tame pačiame US OFAC įrašų rinkinyje kaip Luminor Oy ir Siberica Oy (logistika), ne Luminor Bank AS.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pačią Luminor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Dauguma naujienų – apie OTP Bank sandorį.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2026-09-28–29 spauda rašė apie pirkėjo OTP klientų sąsajas su Rusija – tai susiję su pirkėju, ne su Luminor veikla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27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2025 m. – 305,4 mln. EUR (2024 m. – 182,4 mln.), tikslas – 700 mln. EUR iki 2030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skaičiuojamos PCAF metodu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portfelio, tikslas – 50 %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Gavus leidimus savininku taps OTP Bank (Vengrija)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Valdymo ar tarptautinių normų pažeidimų nerasta (greita paieška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atskleidžiamos pagal PCAF (3 apimtis – 3,2 mln. t CO2e 2025 m.)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305,4 mln. EUR, tikslas – 700 mln. EUR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gerbti žmogaus teises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PPTFP ir sankcijų atitiktis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priemonės ir pranešėjų kanalai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 skolinimo išimčių sąrašo (anglis, nafta ir dujos, ginklai) ir narystės JT Pasauliniame susitarime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kapitalas, likvidumas ir ESG praktika – tvirti.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(3 apimtis) 2025 m. – 3,2 mln. t CO2e, PCAF metodas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stebėtojų taryboje – 33,3 % (tikslas 40 %)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18,4, maža rizika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6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7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8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50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1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2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Emitento apžvalga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vgFBVV95cUxQS0I2c1pwLWJmc0FBMnlvekktZUZiLUcxMy1aLS1TMU1sZlo0bnBLa0lyMGtwVFBYRFZFQ1JwM3hUTElmMEdYcFUtUWt6R01iU2dKdVA1ZXRJZ0RNekhTU0VBbjlabWlaRnU1NXYzYmZtcXpRZ0t5Xy15UHlwNzVOODcxeVNiVnVrQTVlSVV2Y3NQRkpCaTktLVFIWldhZElsaTM5cGl4bXVrS1p1MmZneFk4UlZMRGMtb1NUR01R?oc=5" TargetMode="External"/><Relationship Id="rId39" Type="http://schemas.openxmlformats.org/officeDocument/2006/relationships/hyperlink" Target="https://news.google.com/rss/articles/CBMi2gFBVV95cUxQTENGY3d5UHIyVm4zNFd2Z1c3ZF91SWVzaHQySlFyQ0pHU2JxMlNndjNOdENDQVdpNi1POGw4WklRd2pKZU1nYWNkcVJxTGpiWVR1Ul9QVHduR1laZ2pubjFaLXVEaHB2RE93ZlZiTTNSaVNFYVdwZ2xwMTZtYmhvc2hrZHdJOG9McnZVSEFDTHJfbmFCaVFsMER2Y0dOZ2xWcWttU2huR1hHWW15VGl5SElNYUpJVC1kYV9lOWhzY3hPTDUwTmc4ejlKWEl2UlQzUFM1QUNaUlJnZw?oc=5" TargetMode="External"/><Relationship Id="rId40" Type="http://schemas.openxmlformats.org/officeDocument/2006/relationships/hyperlink" Target="https://news.google.com/rss/articles/CBMixwFBVV95cUxPSXFLcVNjbUNOa0tfOU5rU0JMaFMyTzE4aGF0eWR4RTlSekJiMFF3R2MzajFEb1BTTWZRZk16LW1WWXBxaVVPNVljb2pHcGZKLVNXa0NkMGlHWjVPanZkQlVjM1daZ1FLdGY2dG1nNmZFYUJUWTZoQ3hQbkFhVHI1aEVHWVlQWWRkOU5wWXNSY3BzdzlGcV8tbUJuYUlkOS1vTXRvTlZDbVd0TU5JdVN1aFZDZFZFMi1SNS1uRXBYVHE4aUZDZHc4?oc=5" TargetMode="External"/><Relationship Id="rId41" Type="http://schemas.openxmlformats.org/officeDocument/2006/relationships/hyperlink" Target="https://news.google.com/rss/articles/CBMiugFBVV95cUxNTnNwYlVVaTVnVFR5TTZfa2lCNU4yeGt2dHV1Z054bVdSXzlYc082NGhVRElwaEJUaHlZYTYtc0pjVG1ZcUNWY3FTd2pPQ0dxOGRBY0VHVWFmX05ROGlvU3ZrWTF0c3AxSTJXWEhTb3VlZ0k2UXRSM0JtaFdNdzJ6RGNVZHRyX1o3YTVDVUxONjdMS1RCWVV0VURyd25lLU1RU0RDOXMwTUZzR1BsNmhjUmtiR29aM2JoZnc?oc=5" TargetMode="External"/><Relationship Id="rId42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3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4" Type="http://schemas.openxmlformats.org/officeDocument/2006/relationships/hyperlink" Target="https://news.google.com/rss/articles/CBMiuAFBVV95cUxPOHFVZjBPZWNhWkdTZkZYOXNra24wOUtiQ0RScmZ6dThkeDJkWGxDRHFPcDRMTGo1RjJXU0FGTTZvRzh0YTZpNzZDREM2bGRzWWhDZHItc2k0TGRBY1FNWUZSQ1c5eWFBc0E5NlEzWWt3V0NWZTF1UnFxT2dLaFJNYjdiSG1nSUNQQmhmNjhrZ1dBYTBSb2ZuOEhheWRQZTBla2dtZXM1ZGRVQ2VzTDZXNUprMUx0Z05v?oc=5" TargetMode="External"/><Relationship Id="rId45" Type="http://schemas.openxmlformats.org/officeDocument/2006/relationships/hyperlink" Target="https://news.google.com/rss/articles/CBMipAFBVV95cUxQNFFiZ25yd1FDSmtLVlo1VEZ5S0dFQU5KNS16NFcycW10cUtWblN6em1Pd19fNGUxbW8zS0NYbml4RWRWRDJRRk1GTDRqZm9pSjVHenl4S2RqTmpVSHFSMlZydFA2aWtGMEVDcTU0QUFMWW9CbnhaM1Qyb1k1Yi1Qa1BvenhJVnJOc3dGc0gwNXgtNUxGR1VjVm5ncVhjdkJDd1FtNg?oc=5" TargetMode="External"/><Relationship Id="rId46" Type="http://schemas.openxmlformats.org/officeDocument/2006/relationships/hyperlink" Target="https://luminor.lv/sites/default/files/docs/finansu_parskati/luminor_bank_annual_report_2025-lv.pdf#page=19" TargetMode="External"/><Relationship Id="rId47" Type="http://schemas.openxmlformats.org/officeDocument/2006/relationships/hyperlink" Target="https://luminor.lv/sites/default/files/docs/finansu_parskati/luminor_bank_annual_report_2025-lv.pdf#page=16" TargetMode="External"/><Relationship Id="rId48" Type="http://schemas.openxmlformats.org/officeDocument/2006/relationships/hyperlink" Target="https://luminor.lv/sites/default/files/docs/finansu_parskati/luminor_bank_annual_report_2025-lv.pdf#page=22" TargetMode="External"/><Relationship Id="rId49" Type="http://schemas.openxmlformats.org/officeDocument/2006/relationships/hyperlink" Target="https://sebgroup.com/sustainability/our-sustainability-strategy/policies" TargetMode="External"/><Relationship Id="rId50" Type="http://schemas.openxmlformats.org/officeDocument/2006/relationships/hyperlink" Target="https://luminor.lv/sites/default/files/docs/finansu_parskati/luminor_bank_annual_report_2025-lv.pdf#page=18" TargetMode="External"/><Relationship Id="rId51" Type="http://schemas.openxmlformats.org/officeDocument/2006/relationships/hyperlink" Target="https://luminor.lv/sites/default/files/docs/finansu_parskati/luminor_bank_annual_report_2025-lv.pdf#page=23" TargetMode="External"/><Relationship Id="rId52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