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24" w:color="12355B" w:space="0"/>
        </w:pBdr>
        <w:spacing w:before="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030"/>
        <w:gridCol w:w="2608"/>
      </w:tblGrid>
      <w:tr>
        <w:tc>
          <w:tcPr>
            <w:tcW w:type="dxa" w:w="7030"/>
          </w:tcPr>
          <w:p>
            <w:pPr>
              <w:spacing w:before="0" w:after="0"/>
            </w:pPr>
            <w:r>
              <w:rPr>
                <w:b/>
                <w:caps/>
                <w:color w:val="2A78D6"/>
                <w:sz w:val="16"/>
              </w:rPr>
              <w:t>Emitento apžvalga · 6M2026</w:t>
            </w:r>
          </w:p>
          <w:p>
            <w:pPr>
              <w:spacing w:before="40" w:after="0"/>
            </w:pPr>
            <w:r>
              <w:rPr>
                <w:b/>
                <w:color w:val="12355B"/>
                <w:sz w:val="52"/>
              </w:rPr>
              <w:t>Maxima Grupė</w:t>
            </w:r>
          </w:p>
          <w:p>
            <w:pPr>
              <w:spacing w:before="40" w:after="0"/>
            </w:pPr>
            <w:r>
              <w:rPr>
                <w:b w:val="0"/>
                <w:color w:val="667085"/>
                <w:sz w:val="18"/>
              </w:rPr>
              <w:t>Lietuva</w:t>
            </w:r>
          </w:p>
        </w:tc>
        <w:tc>
          <w:tcPr>
            <w:tcW w:type="dxa" w:w="2608"/>
          </w:tcPr>
          <w:p>
            <w:pPr>
              <w:spacing w:before="440" w:after="0"/>
              <w:jc w:val="right"/>
            </w:pPr>
            <w:r>
              <w:rPr>
                <w:b/>
                <w:color w:val="1B7F3B"/>
                <w:sz w:val="18"/>
                <w:shd w:val="clear" w:color="auto" w:fill="E3F3E8"/>
              </w:rPr>
              <w:t xml:space="preserve">  ●  TVARKINGA  </w:t>
            </w:r>
          </w:p>
        </w:tc>
      </w:tr>
    </w:tbl>
    <w:p>
      <w:pPr>
        <w:pBdr>
          <w:top w:val="single" w:sz="4" w:color="D5DCE4" w:space="0"/>
        </w:pBdr>
        <w:spacing w:before="12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Pagrindinė informacija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Emitento reitingas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S&amp;P BB+, stable outlook (issuer and the 2031 notes; confirmed 2025-12-12)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5"/>
                </w:rPr>
                <w:t xml:space="preserve">2</w:t>
              </w:r>
            </w:hyperlink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Analizės data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2026-10-22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Kita ataskaita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9M 2026 results - expected November 2026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Šalis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Lietuva</w:t>
            </w:r>
          </w:p>
        </w:tc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Turimi vertybiniai popieriai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Maxima Grupė 4.750% senior unsecured notes 2031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XS3366323072  ·  4,75 % · 2031-05-19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atskiro nerasta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80" w:type="dxa"/>
          <w:left w:w="260" w:type="dxa"/>
          <w:bottom w:w="200" w:type="dxa"/>
          <w:right w:w="26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single" w:sz="24" w:color="1B7F3B" w:space="0"/>
              <w:bottom w:val="nil"/>
              <w:right w:val="nil"/>
            </w:tcBorders>
            <w:shd w:val="clear" w:color="auto" w:fill="E3F3E8"/>
          </w:tcPr>
          <w:p>
            <w:pPr>
              <w:spacing w:before="0" w:after="0" w:line="276" w:lineRule="auto"/>
            </w:pPr>
            <w:r>
              <w:rPr>
                <w:b/>
                <w:color w:val="1B2430"/>
                <w:sz w:val="21"/>
              </w:rPr>
              <w:t>Pozicija tvarkinga.</w:t>
            </w:r>
            <w:r>
              <w:rPr>
                <w:b w:val="0"/>
                <w:color w:val="1B2430"/>
                <w:sz w:val="21"/>
              </w:rPr>
              <w:t xml:space="preserve"> Maxima – didžiausias Baltijos šalių maisto prekybininkas, S&amp;P BB+ (stabili)</w:t>
            </w:r>
            <w:hyperlink r:id="rId13">
              <w:r>
                <w:rPr>
                  <w:color w:val="2A78D6"/>
                  <w:vertAlign w:val="superscript"/>
                  <w:sz w:val="17"/>
                </w:rPr>
                <w:t xml:space="preserve">2</w:t>
              </w:r>
            </w:hyperlink>
            <w:r>
              <w:rPr>
                <w:b w:val="0"/>
                <w:color w:val="1B2430"/>
                <w:sz w:val="21"/>
              </w:rPr>
              <w:t>. I pusm. EBITDA 169,9 mln. EUR, grynoji skola / EBITDA 2,0 karto</w:t>
            </w:r>
            <w:hyperlink r:id="rId14">
              <w:r>
                <w:rPr>
                  <w:color w:val="2A78D6"/>
                  <w:vertAlign w:val="superscript"/>
                  <w:sz w:val="17"/>
                </w:rPr>
                <w:t xml:space="preserve">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7"/>
                </w:rPr>
                <w:t xml:space="preserve">4</w:t>
              </w:r>
            </w:hyperlink>
            <w:r>
              <w:rPr>
                <w:b w:val="0"/>
                <w:color w:val="1B2430"/>
                <w:sz w:val="21"/>
              </w:rPr>
              <w:t>. Stebėtina: akcininkui išmokėta daug lėšų, todėl nuosavas kapitalas sumažėjo iki 147 mln. EUR</w:t>
            </w:r>
            <w:hyperlink r:id="rId16">
              <w:r>
                <w:rPr>
                  <w:color w:val="2A78D6"/>
                  <w:vertAlign w:val="superscript"/>
                  <w:sz w:val="17"/>
                </w:rPr>
                <w:t xml:space="preserve">5</w:t>
              </w:r>
            </w:hyperlink>
            <w:r>
              <w:rPr>
                <w:b w:val="0"/>
                <w:color w:val="1B2430"/>
                <w:sz w:val="21"/>
              </w:rPr>
              <w:t>; Latvijoje vyksta konkurencijos tyrimas</w:t>
            </w:r>
            <w:hyperlink r:id="rId17">
              <w:r>
                <w:rPr>
                  <w:color w:val="2A78D6"/>
                  <w:vertAlign w:val="superscript"/>
                  <w:sz w:val="17"/>
                </w:rPr>
                <w:t xml:space="preserve">6</w:t>
              </w:r>
            </w:hyperlink>
            <w:r>
              <w:rPr>
                <w:b w:val="0"/>
                <w:color w:val="1B2430"/>
                <w:sz w:val="21"/>
              </w:rPr>
              <w:t>.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50" w:type="dxa"/>
          <w:left w:w="170" w:type="dxa"/>
          <w:bottom w:w="150" w:type="dxa"/>
          <w:right w:w="100" w:type="dxa"/>
        </w:tblCellMar>
        <w:tblLook w:firstColumn="1" w:firstRow="1" w:lastColumn="0" w:lastRow="0" w:noHBand="0" w:noVBand="1" w:val="04A0"/>
      </w:tblPr>
      <w:tblGrid>
        <w:gridCol w:w="2260"/>
        <w:gridCol w:w="198"/>
        <w:gridCol w:w="2260"/>
        <w:gridCol w:w="198"/>
        <w:gridCol w:w="2260"/>
        <w:gridCol w:w="198"/>
        <w:gridCol w:w="2260"/>
      </w:tblGrid>
      <w:tr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Pajamos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2 026,4</w:t>
            </w:r>
            <w:r>
              <w:rPr>
                <w:b w:val="0"/>
                <w:color w:val="667085"/>
                <w:sz w:val="18"/>
              </w:rPr>
              <w:t xml:space="preserve"> mln. EUR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2,8 %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EBITDA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169,9</w:t>
            </w:r>
            <w:r>
              <w:rPr>
                <w:b w:val="0"/>
                <w:color w:val="667085"/>
                <w:sz w:val="18"/>
              </w:rPr>
              <w:t xml:space="preserve"> mln. EUR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0,4 %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Grynoji skola / EBITDA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2,0</w:t>
            </w:r>
            <w:r>
              <w:rPr>
                <w:b w:val="0"/>
                <w:color w:val="667085"/>
                <w:sz w:val="18"/>
              </w:rPr>
              <w:t xml:space="preserve"> x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0,5x vs FY2025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Nuosavas kapitalas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147,4</w:t>
            </w:r>
            <w:r>
              <w:rPr>
                <w:b w:val="0"/>
                <w:color w:val="667085"/>
                <w:sz w:val="18"/>
              </w:rPr>
              <w:t xml:space="preserve"> mln. EUR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43,9 % vs FY2025</w:t>
            </w:r>
          </w:p>
        </w:tc>
      </w:tr>
    </w:tbl>
    <w:p>
      <w:pPr>
        <w:spacing w:before="0" w:after="40"/>
      </w:pPr>
    </w:p>
    <w:p>
      <w:pPr>
        <w:keepNext/>
        <w:spacing w:before="200" w:after="100"/>
      </w:pPr>
      <w:r>
        <w:rPr>
          <w:b/>
          <w:color w:val="12355B"/>
          <w:sz w:val="26"/>
        </w:rPr>
        <w:t>Trumpa santrauka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Pajamos auga, pelningumas stabilus:</w:t>
      </w:r>
      <w:r>
        <w:rPr>
          <w:b w:val="0"/>
        </w:rPr>
        <w:t xml:space="preserve"> I pusm. pajamos 2 026 mln. EUR (+2,8 %, apskaičiuota įrankio), EBITDA 169,9 mln. EUR (169,2 mln.), grynasis pelnas 85,7 mln. EUR</w:t>
      </w:r>
      <w:hyperlink r:id="rId16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Tik Baltijos šalys:</w:t>
      </w:r>
      <w:r>
        <w:rPr>
          <w:b w:val="0"/>
        </w:rPr>
        <w:t xml:space="preserve"> Lenkijos ir Bulgarijos verslai parduoti 2025-12; liko 498 parduotuvės Lietuvoje, Latvijoje ir Estijoje bei Barbora</w:t>
      </w:r>
      <w:hyperlink r:id="rId18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Daug išmokų akcininkui:</w:t>
      </w:r>
      <w:r>
        <w:rPr>
          <w:b w:val="0"/>
        </w:rPr>
        <w:t xml:space="preserve"> 2025 m. dividendai 423,9 mln. EUR, 2026 m. I pusm. – 101,0 mln. EUR dividendų ir 100 mln. EUR kapitalo mažinimas; nuosavas kapitalas sumažėjo nuo 572,9 iki 147,4 mln. EUR</w:t>
      </w:r>
      <w:hyperlink r:id="rId16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Skola didesnė:</w:t>
      </w:r>
      <w:r>
        <w:rPr>
          <w:b w:val="0"/>
        </w:rPr>
        <w:t xml:space="preserve"> grynoji skola (su nuoma) 764,5 mln. EUR, 2,0 karto EBITDA (2025 m. pab. – 557,1 mln., 1,5 karto)</w:t>
      </w:r>
      <w:hyperlink r:id="rId15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color w:val="2A78D6"/>
          <w:vertAlign w:val="superscript"/>
        </w:rPr>
        <w:t>,</w:t>
      </w:r>
      <w:hyperlink r:id="rId19">
        <w:r>
          <w:rPr>
            <w:color w:val="2A78D6"/>
            <w:vertAlign w:val="superscript"/>
            <w:sz w:val="17"/>
          </w:rPr>
          <w:t xml:space="preserve">9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01</w:t>
        <w:tab/>
      </w:r>
      <w:r>
        <w:rPr>
          <w:b/>
          <w:color w:val="12355B"/>
          <w:sz w:val="28"/>
        </w:rPr>
        <w:t>Turimos priemonės ir ISIN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457"/>
        <w:gridCol w:w="2241"/>
        <w:gridCol w:w="1064"/>
        <w:gridCol w:w="1120"/>
        <w:gridCol w:w="1569"/>
        <w:gridCol w:w="2185"/>
      </w:tblGrid>
      <w:tr>
        <w:tc>
          <w:tcPr>
            <w:tcW w:type="dxa" w:w="14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ISIN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Priemonė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Kuponas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Išpirkimas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Emisijos reitingas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Pastaba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XS3366323072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Maxima Grupė 4.750% senior unsecured notes 2031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4,75 %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2031-05-19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atskiro nerasta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EMTN; unsecured; S&amp;P BB+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02</w:t>
        <w:tab/>
      </w:r>
      <w:r>
        <w:rPr>
          <w:b/>
          <w:color w:val="12355B"/>
          <w:sz w:val="28"/>
        </w:rPr>
        <w:t>Pagrindiniai rodikliai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768"/>
        <w:gridCol w:w="1521"/>
        <w:gridCol w:w="1521"/>
        <w:gridCol w:w="2826"/>
      </w:tblGrid>
      <w:tr>
        <w:tc>
          <w:tcPr>
            <w:tcW w:type="dxa" w:w="376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Rodiklis</w:t>
            </w:r>
          </w:p>
        </w:tc>
        <w:tc>
          <w:tcPr>
            <w:tcW w:type="dxa" w:w="1522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FY2025</w:t>
            </w:r>
          </w:p>
        </w:tc>
        <w:tc>
          <w:tcPr>
            <w:tcW w:type="dxa" w:w="1522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6M2026</w:t>
            </w:r>
          </w:p>
        </w:tc>
        <w:tc>
          <w:tcPr>
            <w:tcW w:type="dxa" w:w="2826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Pokytis</w:t>
            </w:r>
          </w:p>
        </w:tc>
      </w:tr>
      <w:tr>
        <w:tc>
          <w:tcPr>
            <w:tcW w:type="dxa" w:w="376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Pajamos, mln. EUR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522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4 070*</w:t>
            </w:r>
          </w:p>
        </w:tc>
        <w:tc>
          <w:tcPr>
            <w:tcW w:type="dxa" w:w="1522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2 026,4*</w:t>
            </w:r>
          </w:p>
        </w:tc>
        <w:tc>
          <w:tcPr>
            <w:tcW w:type="dxa" w:w="2826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2,8 % vs 6M2025</w:t>
            </w:r>
          </w:p>
        </w:tc>
      </w:tr>
      <w:tr>
        <w:tc>
          <w:tcPr>
            <w:tcW w:type="dxa" w:w="376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EBITDA, mln. EUR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522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375*</w:t>
            </w:r>
          </w:p>
        </w:tc>
        <w:tc>
          <w:tcPr>
            <w:tcW w:type="dxa" w:w="1522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169,9*</w:t>
            </w:r>
          </w:p>
        </w:tc>
        <w:tc>
          <w:tcPr>
            <w:tcW w:type="dxa" w:w="2826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0,4 % vs 6M2025</w:t>
            </w:r>
          </w:p>
        </w:tc>
      </w:tr>
      <w:tr>
        <w:tc>
          <w:tcPr>
            <w:tcW w:type="dxa" w:w="376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Grynasis pelnas, mln. EUR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522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208,7ᶜ</w:t>
            </w:r>
          </w:p>
        </w:tc>
        <w:tc>
          <w:tcPr>
            <w:tcW w:type="dxa" w:w="1522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85,7*</w:t>
            </w:r>
          </w:p>
        </w:tc>
        <w:tc>
          <w:tcPr>
            <w:tcW w:type="dxa" w:w="2826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55,0 % vs 6M2025</w:t>
            </w:r>
          </w:p>
        </w:tc>
      </w:tr>
      <w:tr>
        <w:tc>
          <w:tcPr>
            <w:tcW w:type="dxa" w:w="376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Investicijos, mln. EUR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</w:p>
        </w:tc>
        <w:tc>
          <w:tcPr>
            <w:tcW w:type="dxa" w:w="1522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74,3*</w:t>
            </w:r>
          </w:p>
        </w:tc>
        <w:tc>
          <w:tcPr>
            <w:tcW w:type="dxa" w:w="1522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48,4*</w:t>
            </w:r>
          </w:p>
        </w:tc>
        <w:tc>
          <w:tcPr>
            <w:tcW w:type="dxa" w:w="2826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▼ 32,7 % vs 6M2025</w:t>
            </w:r>
          </w:p>
        </w:tc>
      </w:tr>
      <w:tr>
        <w:tc>
          <w:tcPr>
            <w:tcW w:type="dxa" w:w="376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Grynoji skola, mln. EUR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522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557,1*</w:t>
            </w:r>
          </w:p>
        </w:tc>
        <w:tc>
          <w:tcPr>
            <w:tcW w:type="dxa" w:w="1522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764,5*</w:t>
            </w:r>
          </w:p>
        </w:tc>
        <w:tc>
          <w:tcPr>
            <w:tcW w:type="dxa" w:w="2826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37,2 % vs FY2025</w:t>
            </w:r>
          </w:p>
        </w:tc>
      </w:tr>
      <w:tr>
        <w:tc>
          <w:tcPr>
            <w:tcW w:type="dxa" w:w="376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Grynoji skola / EBITDA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522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1,5x*</w:t>
            </w:r>
          </w:p>
        </w:tc>
        <w:tc>
          <w:tcPr>
            <w:tcW w:type="dxa" w:w="1522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2,0x*</w:t>
            </w:r>
          </w:p>
        </w:tc>
        <w:tc>
          <w:tcPr>
            <w:tcW w:type="dxa" w:w="2826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0,5x vs FY2025</w:t>
            </w:r>
          </w:p>
        </w:tc>
      </w:tr>
      <w:tr>
        <w:tc>
          <w:tcPr>
            <w:tcW w:type="dxa" w:w="376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Nuosavas kapitalas, mln. EUR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522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262,9*</w:t>
            </w:r>
          </w:p>
        </w:tc>
        <w:tc>
          <w:tcPr>
            <w:tcW w:type="dxa" w:w="1522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147,4*</w:t>
            </w:r>
          </w:p>
        </w:tc>
        <w:tc>
          <w:tcPr>
            <w:tcW w:type="dxa" w:w="2826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43,9 % vs FY2025</w:t>
            </w:r>
          </w:p>
        </w:tc>
      </w:tr>
      <w:tr>
        <w:tc>
          <w:tcPr>
            <w:tcW w:type="dxa" w:w="376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Nuosavo kapitalo dalis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522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15,2 %ᶜ</w:t>
            </w:r>
          </w:p>
        </w:tc>
        <w:tc>
          <w:tcPr>
            <w:tcW w:type="dxa" w:w="1522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E7E5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8,4 %ᶜ</w:t>
            </w:r>
          </w:p>
        </w:tc>
        <w:tc>
          <w:tcPr>
            <w:tcW w:type="dxa" w:w="2826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6,8 p. p. vs FY2025</w:t>
            </w:r>
          </w:p>
        </w:tc>
      </w:tr>
      <w:tr>
        <w:tc>
          <w:tcPr>
            <w:tcW w:type="dxa" w:w="376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Turtas, mln. EUR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522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1 725,7*</w:t>
            </w:r>
          </w:p>
        </w:tc>
        <w:tc>
          <w:tcPr>
            <w:tcW w:type="dxa" w:w="1522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1 763,8*</w:t>
            </w:r>
          </w:p>
        </w:tc>
        <w:tc>
          <w:tcPr>
            <w:tcW w:type="dxa" w:w="2826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▲ 2,2 % vs FY2025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Spalvos: žalias pokytis – rodiklis gerėja, raudonas – blogėja. Paskutinio laikotarpio langelio fonas: žalias – geras lygis, geltonas – vidutinis, raudonas – silpnas (įrankio orientyrai, config/metric_rules.yaml).</w:t>
      </w:r>
    </w:p>
    <w:p>
      <w:pPr>
        <w:spacing w:before="40" w:after="60"/>
      </w:pPr>
      <w:r>
        <w:rPr>
          <w:b w:val="0"/>
          <w:color w:val="667085"/>
          <w:sz w:val="16"/>
        </w:rPr>
        <w:t>* – paimta iš ataskaitos santraukos;  ᶜ – apskaičiuota įrankio. Mažas numeris prie teksto – nuoroda į šaltinį (paspaudus atsidaro dokumentas reikiamame puslapyje).</w:t>
      </w:r>
    </w:p>
    <w:p>
      <w:r>
        <w:drawing>
          <wp:inline xmlns:a="http://schemas.openxmlformats.org/drawingml/2006/main" xmlns:pic="http://schemas.openxmlformats.org/drawingml/2006/picture">
            <wp:extent cx="6120000" cy="2231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xima_l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31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03</w:t>
        <w:tab/>
      </w:r>
      <w:r>
        <w:rPr>
          <w:b/>
          <w:color w:val="12355B"/>
          <w:sz w:val="28"/>
        </w:rPr>
        <w:t>Veiklos apžvalga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Strategija – kainų lyderystė Baltijos šalyse:</w:t>
      </w:r>
      <w:r>
        <w:rPr>
          <w:b w:val="0"/>
        </w:rPr>
        <w:t xml:space="preserve"> I pusm. sumažintos 9 000 prekių kainos Lietuvoje ir 4 000 Latvijoje; iki 2030 m. planuojama atidaryti ar išplėsti daugiau nei 80 parduotuvių</w:t>
      </w:r>
      <w:hyperlink r:id="rId24">
        <w:r>
          <w:rPr>
            <w:color w:val="2A78D6"/>
            <w:vertAlign w:val="superscript"/>
            <w:sz w:val="17"/>
          </w:rPr>
          <w:t xml:space="preserve">14</w:t>
        </w:r>
      </w:hyperlink>
      <w:r>
        <w:rPr>
          <w:color w:val="2A78D6"/>
          <w:vertAlign w:val="superscript"/>
        </w:rPr>
        <w:t>,</w:t>
      </w:r>
      <w:hyperlink r:id="rId15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2026-05-31 įsigyta Latvijos nekilnojamojo turto bendrovė Irbis A (16,9 mln. EUR); 2026-08-31 parduota SOLLO</w:t>
      </w:r>
      <w:hyperlink r:id="rId25">
        <w:r>
          <w:rPr>
            <w:color w:val="2A78D6"/>
            <w:vertAlign w:val="superscript"/>
            <w:sz w:val="17"/>
          </w:rPr>
          <w:t xml:space="preserve">15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04</w:t>
        <w:tab/>
      </w:r>
      <w:r>
        <w:rPr>
          <w:b/>
          <w:color w:val="12355B"/>
          <w:sz w:val="28"/>
        </w:rPr>
        <w:t>Finansai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2025 m. (tęsiama veikla) pajamos 4 070 mln. EUR, EBITDA 375 mln. EUR, marža 9,2 %</w:t>
      </w:r>
      <w:hyperlink r:id="rId20">
        <w:r>
          <w:rPr>
            <w:color w:val="2A78D6"/>
            <w:vertAlign w:val="superscript"/>
            <w:sz w:val="17"/>
          </w:rPr>
          <w:t xml:space="preserve">10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Pinigai 2026-06-30 – 256,3 mln. EUR; banko paskolos 259,3 mln. EUR (SEB ir ING tiltinė paskola 260 mln. EUR, dar 40 mln. EUR Swedbank ir 40 mln. EUR SEB)</w:t>
      </w:r>
      <w:hyperlink r:id="rId16">
        <w:r>
          <w:rPr>
            <w:color w:val="2A78D6"/>
            <w:vertAlign w:val="superscript"/>
            <w:sz w:val="17"/>
          </w:rPr>
          <w:t xml:space="preserve">16</w:t>
        </w:r>
      </w:hyperlink>
      <w:r>
        <w:rPr>
          <w:color w:val="2A78D6"/>
          <w:vertAlign w:val="superscript"/>
        </w:rPr>
        <w:t>,</w:t>
      </w:r>
      <w:hyperlink r:id="rId18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05</w:t>
        <w:tab/>
      </w:r>
      <w:r>
        <w:rPr>
          <w:b/>
          <w:color w:val="12355B"/>
          <w:sz w:val="28"/>
        </w:rPr>
        <w:t>Ankstesni planai ir rezultatai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577"/>
        <w:gridCol w:w="2577"/>
        <w:gridCol w:w="3138"/>
        <w:gridCol w:w="1344"/>
      </w:tblGrid>
      <w:tr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Planas / tikslas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Rezultatas</w:t>
            </w:r>
          </w:p>
        </w:tc>
        <w:tc>
          <w:tcPr>
            <w:tcW w:type="dxa" w:w="313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Kas pasikeitė ir kodėl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Būsena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Sutelkti veiklą Baltijos šalyse, parduodant Lenkiją ir Bulgariją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Pardavimas užbaigtas 2025-12-19 ir 2025-12-22</w:t>
            </w:r>
            <w:hyperlink r:id="rId26">
              <w:r>
                <w:rPr>
                  <w:color w:val="2A78D6"/>
                  <w:vertAlign w:val="superscript"/>
                  <w:sz w:val="14"/>
                </w:rPr>
                <w:t xml:space="preserve">17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18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Įvykdyta</w:t>
            </w:r>
            <w:hyperlink r:id="rId26">
              <w:r>
                <w:rPr>
                  <w:color w:val="2A78D6"/>
                  <w:vertAlign w:val="superscript"/>
                  <w:sz w:val="14"/>
                </w:rPr>
                <w:t xml:space="preserve">17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</w:pPr>
            <w:r>
              <w:rPr>
                <w:b/>
                <w:sz w:val="17"/>
              </w:rPr>
              <w:t>Įvykdyta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Refinansuoti trumpalaikę paskolą obligacijomis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2026-05 išleista 350 mln. EUR obligacijų; didžioji dalis – paskolai grąžinti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7">
              <w:r>
                <w:rPr>
                  <w:color w:val="2A78D6"/>
                  <w:vertAlign w:val="superscript"/>
                  <w:sz w:val="14"/>
                </w:rPr>
                <w:t xml:space="preserve">19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Įvykdyta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</w:pPr>
            <w:r>
              <w:rPr>
                <w:b/>
                <w:sz w:val="17"/>
              </w:rPr>
              <w:t>Įvykdyta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Iki 2030 m. sumažinti 1 ir 2 apimties emisijas 42 % (palyginti su 2021 m.)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2025 m. pab. sumažinta 24,5 %</w:t>
            </w:r>
            <w:hyperlink r:id="rId28">
              <w:r>
                <w:rPr>
                  <w:color w:val="2A78D6"/>
                  <w:vertAlign w:val="superscript"/>
                  <w:sz w:val="14"/>
                </w:rPr>
                <w:t xml:space="preserve">20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Vykdoma</w:t>
            </w:r>
            <w:hyperlink r:id="rId28">
              <w:r>
                <w:rPr>
                  <w:color w:val="2A78D6"/>
                  <w:vertAlign w:val="superscript"/>
                  <w:sz w:val="14"/>
                </w:rPr>
                <w:t xml:space="preserve">20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Dar vykdoma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Atidaryti ar išplėsti &gt;80 parduotuvių iki 2030 m.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Naujas tikslas</w:t>
            </w:r>
            <w:hyperlink r:id="rId24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Naujas planas</w:t>
            </w:r>
            <w:hyperlink r:id="rId24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Dar vykdoma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06</w:t>
        <w:tab/>
      </w:r>
      <w:r>
        <w:rPr>
          <w:b/>
          <w:color w:val="12355B"/>
          <w:sz w:val="28"/>
        </w:rPr>
        <w:t>Informacija investuotojui ir išvados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Turima priemonė:</w:t>
      </w:r>
      <w:r>
        <w:rPr>
          <w:b w:val="0"/>
        </w:rPr>
        <w:t xml:space="preserve"> 4,750 % neužtikrintos obligacijos, 350 mln. EUR, išleistos 2026-05-19, išpirkimas 2031-05-19, kuponas kasmet; Nasdaq Vilnius ir Euronext Dublin; S&amp;P BB+</w:t>
      </w:r>
      <w:hyperlink r:id="rId29">
        <w:r>
          <w:rPr>
            <w:color w:val="2A78D6"/>
            <w:vertAlign w:val="superscript"/>
            <w:sz w:val="17"/>
          </w:rPr>
          <w:t xml:space="preserve">21</w:t>
        </w:r>
      </w:hyperlink>
      <w:r>
        <w:rPr>
          <w:color w:val="2A78D6"/>
          <w:vertAlign w:val="superscript"/>
        </w:rPr>
        <w:t>,</w:t>
      </w:r>
      <w:hyperlink r:id="rId13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color w:val="2A78D6"/>
          <w:vertAlign w:val="superscript"/>
        </w:rPr>
        <w:t>,</w:t>
      </w:r>
      <w:hyperlink r:id="rId27">
        <w:r>
          <w:rPr>
            <w:color w:val="2A78D6"/>
            <w:vertAlign w:val="superscript"/>
            <w:sz w:val="17"/>
          </w:rPr>
          <w:t xml:space="preserve">19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Svertas:</w:t>
      </w:r>
      <w:r>
        <w:rPr>
          <w:b w:val="0"/>
        </w:rPr>
        <w:t xml:space="preserve"> grynoji skola / EBITDA 2,0 karto – vidutinis lygis; pinigų atsargos 256 mln. EUR</w:t>
      </w:r>
      <w:hyperlink r:id="rId15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color w:val="2A78D6"/>
          <w:vertAlign w:val="superscript"/>
        </w:rPr>
        <w:t>,</w:t>
      </w:r>
      <w:hyperlink r:id="rId16">
        <w:r>
          <w:rPr>
            <w:color w:val="2A78D6"/>
            <w:vertAlign w:val="superscript"/>
            <w:sz w:val="17"/>
          </w:rPr>
          <w:t xml:space="preserve">11</w:t>
        </w:r>
      </w:hyperlink>
      <w:r>
        <w:rPr>
          <w:b w:val="0"/>
        </w:rPr>
        <w:t>. Kitų obligacijų nėra – 2022 m. 6,25 % obligacijos išpirktos anksčiau laiko 2025-10-27</w:t>
      </w:r>
      <w:hyperlink r:id="rId30">
        <w:r>
          <w:rPr>
            <w:color w:val="2A78D6"/>
            <w:vertAlign w:val="superscript"/>
            <w:sz w:val="17"/>
          </w:rPr>
          <w:t xml:space="preserve">22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Rizika:</w:t>
      </w:r>
      <w:r>
        <w:rPr>
          <w:b w:val="0"/>
        </w:rPr>
        <w:t xml:space="preserve"> didelės išmokos akcininkui mažina kapitalo atsargą; dividendų politika nerasta. Išankstinio išpirkimo sąlygos ir kovenantai ataskaitose nerasti.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Išvada:</w:t>
      </w:r>
      <w:r>
        <w:rPr>
          <w:b w:val="0"/>
        </w:rPr>
        <w:t xml:space="preserve"> vidutinė rizika – stabilus verslas ir BB+ reitingas, bet akcininkas ima daug lėšų.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07</w:t>
        <w:tab/>
      </w:r>
      <w:r>
        <w:rPr>
          <w:b/>
          <w:color w:val="12355B"/>
          <w:sz w:val="28"/>
        </w:rPr>
        <w:t>Rinka ir aplinka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Kainų mažinimas ir kaštai:</w:t>
      </w:r>
      <w:r>
        <w:rPr>
          <w:b w:val="0"/>
        </w:rPr>
        <w:t xml:space="preserve"> pajamos +2,8 % iki 2,03 mlrd. EUR (palyginamos +2,1 %), augimas viršijo maisto infliaciją Baltijos šalyse (apie 2 %)</w:t>
      </w:r>
      <w:hyperlink r:id="rId15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 Lietuvoje kainos sumažintos 9 000, Latvijoje – 4 000 prekių</w:t>
      </w:r>
      <w:hyperlink r:id="rId15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Marža:</w:t>
      </w:r>
      <w:r>
        <w:rPr>
          <w:b w:val="0"/>
        </w:rPr>
        <w:t xml:space="preserve"> EBITDA 169,9 mln. EUR (+0,7 mln.), marža 8,4 % (–0,2 p. p.) daugiausia dėl augančių darbo užmokesčio, energijos ir kuro kaštų; bendrovė juos kompensuoja didindama efektyvumą</w:t>
      </w:r>
      <w:hyperlink r:id="rId15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Šalys:</w:t>
      </w:r>
      <w:r>
        <w:rPr>
          <w:b w:val="0"/>
        </w:rPr>
        <w:t xml:space="preserve"> Lietuva +4,6 %, Latvija +0,6 %, Estija +1,3 %, „Barbora“ +0,4 %</w:t>
      </w:r>
      <w:hyperlink r:id="rId15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515"/>
        <w:gridCol w:w="1814"/>
        <w:gridCol w:w="1360"/>
        <w:gridCol w:w="1360"/>
        <w:gridCol w:w="1587"/>
      </w:tblGrid>
      <w:tr>
        <w:tc>
          <w:tcPr>
            <w:tcW w:type="dxa" w:w="351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Dabar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Prieš 3 mėn.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Prieš 12 mėn.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Pokytis per 12 mėn.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ECB indėlių palūkanų norma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2,50 %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2,25 %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3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2,64 %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2,34 %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2,03 %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0,61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2,92 %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2,60 %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2,10 %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0,82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12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3,25 %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2,80 %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2,17 %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1,08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zonos AAA vyriausybių 10 m. pajamingumas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3,43 % (2026-10)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3,23 %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2,72 %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0,71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zonos infliacija (SVKI, metinė)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1,90 % (2025-12)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2,20 %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2,40 %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▼ 0,50 p. p.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Euro zonos palūkanos ir infliacija (ECB duomenys, mėnesio pabaigos reikšmė; Euribor ir infliacija – mėnesio vidurkis). Svarbu kintamų palūkanų ir perkainojamoms (reset) obligacijoms bei refinansavimo kaštams.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08</w:t>
        <w:tab/>
      </w:r>
      <w:r>
        <w:rPr>
          <w:b/>
          <w:color w:val="12355B"/>
          <w:sz w:val="28"/>
        </w:rPr>
        <w:t>Ką rašo spauda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Nekilnojamasis turtas:</w:t>
      </w:r>
      <w:r>
        <w:rPr>
          <w:b w:val="0"/>
        </w:rPr>
        <w:t xml:space="preserve"> 2026-10-09 Maxima LT už 5,5 mln. EUR įsigijo pastatą ir sklypą Vilniuje</w:t>
      </w:r>
      <w:hyperlink r:id="rId31">
        <w:r>
          <w:rPr>
            <w:color w:val="2A78D6"/>
            <w:vertAlign w:val="superscript"/>
            <w:sz w:val="17"/>
          </w:rPr>
          <w:t xml:space="preserve">23</w:t>
        </w:r>
      </w:hyperlink>
      <w:r>
        <w:rPr>
          <w:b w:val="0"/>
        </w:rPr>
        <w:t>.</w:t>
      </w:r>
    </w:p>
    <w:p>
      <w:pPr>
        <w:spacing w:before="40" w:after="60"/>
      </w:pPr>
      <w:r>
        <w:rPr>
          <w:b w:val="0"/>
          <w:color w:val="667085"/>
          <w:sz w:val="18"/>
        </w:rPr>
        <w:t>Automatinė naujienų paieška (Google News, LT, LV), 2026-07-24 – 2026-10-22: 10 pranešimų.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20"/>
        <w:gridCol w:w="1360"/>
        <w:gridCol w:w="7257"/>
      </w:tblGrid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2026-10-09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9A6400"/>
                <w:sz w:val="14"/>
                <w:shd w:val="clear" w:color="auto" w:fill="FDF1D8"/>
              </w:rPr>
              <w:t xml:space="preserve"> SANDORIS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2">
              <w:r>
                <w:rPr>
                  <w:color w:val="1B2430"/>
                  <w:sz w:val="18"/>
                </w:rPr>
                <w:t xml:space="preserve">„Maxima“ įsigijo daugiau nei 62 arų sklypą Vilniuje: svarsto, ką jame įrengti</w:t>
              </w:r>
            </w:hyperlink>
            <w:r>
              <w:rPr>
                <w:b w:val="0"/>
                <w:color w:val="667085"/>
                <w:sz w:val="15"/>
              </w:rPr>
              <w:t xml:space="preserve">   15min.lt  ·  dar 1 panašūs pranešimai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2026-10-19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KITA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3">
              <w:r>
                <w:rPr>
                  <w:color w:val="1B2430"/>
                  <w:sz w:val="18"/>
                </w:rPr>
                <w:t xml:space="preserve">“Maxima” sadarbībā ar Veselīga uztura kustību “Ēstprieks” sāk ražot īpaši bērniem radītas maltītes</w:t>
              </w:r>
            </w:hyperlink>
            <w:r>
              <w:rPr>
                <w:b w:val="0"/>
                <w:color w:val="667085"/>
                <w:sz w:val="15"/>
              </w:rPr>
              <w:t xml:space="preserve">   Jauns.lv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2026-10-12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KITA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4">
              <w:r>
                <w:rPr>
                  <w:color w:val="1B2430"/>
                  <w:sz w:val="18"/>
                </w:rPr>
                <w:t xml:space="preserve">Zemi Gulbenē, Brīvības ielā, pērk SIA "Maxima Latvija" firma</w:t>
              </w:r>
            </w:hyperlink>
            <w:r>
              <w:rPr>
                <w:b w:val="0"/>
                <w:color w:val="667085"/>
                <w:sz w:val="15"/>
              </w:rPr>
              <w:t xml:space="preserve">   Dzirkstele.lv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2026-10-11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KITA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5">
              <w:r>
                <w:rPr>
                  <w:color w:val="1B2430"/>
                  <w:sz w:val="18"/>
                </w:rPr>
                <w:t xml:space="preserve">“Diētiskā versija?” Sieviete nopērk “Maxima” eklērus un ir pārsteigta par to, ko tajos atrod</w:t>
              </w:r>
            </w:hyperlink>
            <w:r>
              <w:rPr>
                <w:b w:val="0"/>
                <w:color w:val="667085"/>
                <w:sz w:val="15"/>
              </w:rPr>
              <w:t xml:space="preserve">   LA.LV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2026-10-01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KITA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6">
              <w:r>
                <w:rPr>
                  <w:color w:val="1B2430"/>
                  <w:sz w:val="18"/>
                </w:rPr>
                <w:t xml:space="preserve">„Maxima“ Latvijoje mažina kainas: pirkėjai šių produktų kainą pastebės iš karto</w:t>
              </w:r>
            </w:hyperlink>
            <w:r>
              <w:rPr>
                <w:b w:val="0"/>
                <w:color w:val="667085"/>
                <w:sz w:val="15"/>
              </w:rPr>
              <w:t xml:space="preserve">   Kaipkada.lt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2026-09-30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KITA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7">
              <w:r>
                <w:rPr>
                  <w:color w:val="1B2430"/>
                  <w:sz w:val="18"/>
                </w:rPr>
                <w:t xml:space="preserve">Kam šoreiz masveidā samazinātas cenas “Maxima” veikalos?</w:t>
              </w:r>
            </w:hyperlink>
            <w:r>
              <w:rPr>
                <w:b w:val="0"/>
                <w:color w:val="667085"/>
                <w:sz w:val="15"/>
              </w:rPr>
              <w:t xml:space="preserve">   Jauns.lv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2026-09-30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KITA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8">
              <w:r>
                <w:rPr>
                  <w:color w:val="1B2430"/>
                  <w:sz w:val="18"/>
                </w:rPr>
                <w:t xml:space="preserve">Priecīgas ziņas Latvijas iedzīvotājiem: "Maxima" paziņo, ka turpmāk vairāki pircēju iecienīti produkti maksās ievērojami lētāk</w:t>
              </w:r>
            </w:hyperlink>
            <w:r>
              <w:rPr>
                <w:b w:val="0"/>
                <w:color w:val="667085"/>
                <w:sz w:val="15"/>
              </w:rPr>
              <w:t xml:space="preserve">   Dzentlmenis.lv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2026-09-25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KITA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9">
              <w:r>
                <w:rPr>
                  <w:color w:val="1B2430"/>
                  <w:sz w:val="18"/>
                </w:rPr>
                <w:t xml:space="preserve">Alūksnes novada mazpulcēnu izaudzētie sīpoli nonāk “Maxima” veikalu plauktos</w:t>
              </w:r>
            </w:hyperlink>
            <w:r>
              <w:rPr>
                <w:b w:val="0"/>
                <w:color w:val="667085"/>
                <w:sz w:val="15"/>
              </w:rPr>
              <w:t xml:space="preserve">   Aluksniesiem.lv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2026-09-24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KITA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40">
              <w:r>
                <w:rPr>
                  <w:color w:val="1B2430"/>
                  <w:sz w:val="18"/>
                </w:rPr>
                <w:t xml:space="preserve">Vairāk nekā 6 tonnas mazpulcēnu audzēto sīpolu pieejami “Maxima” veikalos</w:t>
              </w:r>
            </w:hyperlink>
            <w:r>
              <w:rPr>
                <w:b w:val="0"/>
                <w:color w:val="667085"/>
                <w:sz w:val="15"/>
              </w:rPr>
              <w:t xml:space="preserve">   ZiemelLatvija.lv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09</w:t>
        <w:tab/>
      </w:r>
      <w:r>
        <w:rPr>
          <w:b/>
          <w:color w:val="12355B"/>
          <w:sz w:val="28"/>
        </w:rPr>
        <w:t>ESG report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Exclusionary screening (companies)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involved in excluded sectors: controversial and nuclear weapons, tobacco, gambling and restricted sectors in fossil fuel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Maisto mažmeninė prekyba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Išskirtuose sektoriuose veiklos nėra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red flag/signal related to controversies based on UN Global Compact, OECD Guidelines for Multinational Enterprises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Ginčų pagal JT Pasaulinį susitarimą ar EBPO gaires nerasta.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 the list of sanctions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Nerasta EU, UN, UK, US OFAC konsoliduotuose sankcijų sąrašuose (automatinė patikra 2026-10-22).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Bendravardis sąrašuose: Maxima LLC – kitos bendrovės (susijusios su Dalpribor) pavadinimas ES sąrašo įraše, ne Maxima Grupė UAB.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Bendravardis sąrašuose: Maxima Legal LLC – to paties ES sąrašo įrašo pavadinimas, ne Maxima Grupė UAB.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issues were not identified from adverse media checks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Rasta: 2025-11-06 Latvijos konkurencijos taryba skyrė Maxima Latvija daugiau nei 1,8 mln. EUR baudą už nesąžiningą prekybos praktiką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Bendrovė nesutinka ir skundžia</w:t>
            </w:r>
            <w:hyperlink r:id="rId41">
              <w:r>
                <w:rPr>
                  <w:color w:val="2A78D6"/>
                  <w:vertAlign w:val="superscript"/>
                  <w:sz w:val="15"/>
                </w:rPr>
                <w:t xml:space="preserve">24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2026-02-26 taryba atliko veiksmus Maxima Latvija biure dėl įtariamo kartelio tarp dviejų didžiausių prekybininkų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Tyrimas vyksta, bauda neskirta</w:t>
            </w:r>
            <w:hyperlink r:id="rId17">
              <w:r>
                <w:rPr>
                  <w:color w:val="2A78D6"/>
                  <w:vertAlign w:val="superscript"/>
                  <w:sz w:val="15"/>
                </w:rPr>
                <w:t xml:space="preserve">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Naujienų suvestinė 2026-07-24 – 2026-10-22: 10 pranešimų, iš jų su neigiamu žodžiu antraštėje – 0 (plačiau – skiltyje „Ką rašo spauda“).</w:t>
            </w:r>
          </w:p>
        </w:tc>
      </w:tr>
    </w:tbl>
    <w:p>
      <w:pPr>
        <w:spacing w:before="120" w:after="40"/>
      </w:pPr>
      <w:r>
        <w:rPr>
          <w:i/>
          <w:color w:val="333333"/>
          <w:sz w:val="18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ESG integration and positive screening (positive answers imply higher allocation)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promoting environmental or social characteristics (activities, ESG policy, good ESG rating, etc)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Atsinaujinanti energija – 37,1 % (2025 m.), 85 % atliekų nepatenka į sąvartyną, maisto dovanojimas maisto bankams (6,3 mln. EUR)</w:t>
            </w:r>
            <w:hyperlink r:id="rId28">
              <w:r>
                <w:rPr>
                  <w:color w:val="2A78D6"/>
                  <w:vertAlign w:val="superscript"/>
                  <w:sz w:val="15"/>
                </w:rPr>
                <w:t xml:space="preserve">20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activities of the company or it’s strategy is aligned with the taxonomy and/or Paris agreement targets (e.g. net zero commitment)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Tikslas – iki 2030 m. 42 % mažesnės 1 ir 2 apimties emisijos (palyginti su 2021 m.)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Pasiekta 24,5 %</w:t>
            </w:r>
            <w:hyperlink r:id="rId28">
              <w:r>
                <w:rPr>
                  <w:color w:val="2A78D6"/>
                  <w:vertAlign w:val="superscript"/>
                  <w:sz w:val="15"/>
                </w:rPr>
                <w:t xml:space="preserve">20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yellow flag/signal related to controversies based on UN Global Compact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Geltonas signalas: Latvijos konkurencijos baudos ir kartelio tyrimas</w:t>
            </w:r>
            <w:hyperlink r:id="rId41">
              <w:r>
                <w:rPr>
                  <w:color w:val="2A78D6"/>
                  <w:vertAlign w:val="superscript"/>
                  <w:sz w:val="15"/>
                </w:rPr>
                <w:t xml:space="preserve">24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5"/>
                </w:rPr>
                <w:t xml:space="preserve">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fulfills the expectations from SEB thematic and sector policies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Taikoma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Žemės ūkio politika (prekyba maistu)</w:t>
            </w:r>
            <w:hyperlink r:id="rId42">
              <w:r>
                <w:rPr>
                  <w:color w:val="2A78D6"/>
                  <w:vertAlign w:val="superscript"/>
                  <w:sz w:val="15"/>
                </w:rPr>
                <w:t xml:space="preserve">25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Atitinka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Tvarumo ataskaita metinėje ataskaitoje, emisijų mažinimo tikslas</w:t>
            </w:r>
            <w:hyperlink r:id="rId28">
              <w:r>
                <w:rPr>
                  <w:color w:val="2A78D6"/>
                  <w:vertAlign w:val="superscript"/>
                  <w:sz w:val="15"/>
                </w:rPr>
                <w:t xml:space="preserve">26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Engagement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Is there a need for pro-active engagement with the company?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Nereikia: konkurencijos klausimai sprendžiami teisme ir tyrime.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Indicators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indicators of the company support the targets of sustainability and PAI indicators followed by the Fund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Skelbiamos emisijos, atsinaujinančios energijos dalis ir atliekų rodikliai</w:t>
            </w:r>
            <w:hyperlink r:id="rId28">
              <w:r>
                <w:rPr>
                  <w:color w:val="2A78D6"/>
                  <w:vertAlign w:val="superscript"/>
                  <w:sz w:val="15"/>
                </w:rPr>
                <w:t xml:space="preserve">20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spacing w:before="120" w:after="40"/>
      </w:pPr>
      <w:r>
        <w:rPr>
          <w:b/>
          <w:sz w:val="19"/>
        </w:rPr>
        <w:t xml:space="preserve">Conclusion: </w:t>
      </w:r>
      <w:r>
        <w:rPr>
          <w:b w:val="0"/>
          <w:sz w:val="19"/>
        </w:rPr>
        <w:t>Išimčių ir raudonų signalų nėra. Geltonas signalas – konkurencijos teisės klausimai Latvijoje.</w:t>
      </w:r>
    </w:p>
    <w:p>
      <w:pPr>
        <w:spacing w:before="40" w:after="60"/>
      </w:pPr>
      <w:r>
        <w:rPr>
          <w:b w:val="0"/>
          <w:color w:val="667085"/>
          <w:sz w:val="16"/>
        </w:rPr>
        <w:t>Taikytos SEB politikos: Policy on Sustainability Considerations in Investments (SEB AB); Agriculture, Fishing, Aquaculture and Animal Welfare sector policy; Environmental Policy on Climate, Nature and Water (thematic); Social and Human Rights Policy (thematic); Governance expectations in sector policies (anti-corruption, tax, reporting)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10</w:t>
        <w:tab/>
      </w:r>
      <w:r>
        <w:rPr>
          <w:b/>
          <w:color w:val="12355B"/>
          <w:sz w:val="28"/>
        </w:rPr>
        <w:t>Šaltiniai</w:t>
      </w:r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1.</w:t>
        <w:tab/>
      </w:r>
      <w:hyperlink r:id="rId12">
        <w:r>
          <w:rPr>
            <w:color w:val="2A78D6"/>
            <w:sz w:val="17"/>
          </w:rPr>
          <w:t xml:space="preserve">Maxima Grupė - Consolidated management report 2025 (LT), p. 6, 2026-04-07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2.</w:t>
        <w:tab/>
      </w:r>
      <w:hyperlink r:id="rId13">
        <w:r>
          <w:rPr>
            <w:color w:val="2A78D6"/>
            <w:sz w:val="17"/>
          </w:rPr>
          <w:t xml:space="preserve">Maxima Grupė - Results of the EUR 350m 5-year bond offering, 2026-05-08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3.</w:t>
        <w:tab/>
      </w:r>
      <w:hyperlink r:id="rId14">
        <w:r>
          <w:rPr>
            <w:color w:val="2A78D6"/>
            <w:sz w:val="17"/>
          </w:rPr>
          <w:t xml:space="preserve">Maxima Grupė - Consolidated interim condensed financial statements 6M 2026 (unaudited, LT), p. 7, 2026-09-04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4.</w:t>
        <w:tab/>
      </w:r>
      <w:hyperlink r:id="rId15">
        <w:r>
          <w:rPr>
            <w:color w:val="2A78D6"/>
            <w:sz w:val="17"/>
          </w:rPr>
          <w:t xml:space="preserve">Maxima Grupė - Press release: 2026 m. pirmasis pusmetis, 2026-09-04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5.</w:t>
        <w:tab/>
      </w:r>
      <w:hyperlink r:id="rId16">
        <w:r>
          <w:rPr>
            <w:color w:val="2A78D6"/>
            <w:sz w:val="17"/>
          </w:rPr>
          <w:t xml:space="preserve">Maxima Grupė - Consolidated interim condensed financial statements 6M 2026 (unaudited, LT), p. 3-4, 9, 2026-09-04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6.</w:t>
        <w:tab/>
      </w:r>
      <w:hyperlink r:id="rId17">
        <w:r>
          <w:rPr>
            <w:color w:val="2A78D6"/>
            <w:sz w:val="17"/>
          </w:rPr>
          <w:t xml:space="preserve">LSM - Cartel suspected between two food retailers in Latvia, 2026-02-27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7.</w:t>
        <w:tab/>
      </w:r>
      <w:hyperlink r:id="rId16">
        <w:r>
          <w:rPr>
            <w:color w:val="2A78D6"/>
            <w:sz w:val="17"/>
          </w:rPr>
          <w:t xml:space="preserve">Maxima Grupė - Consolidated interim condensed financial statements 6M 2026 (unaudited, LT), p. 3, 7, 2026-09-04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8.</w:t>
        <w:tab/>
      </w:r>
      <w:hyperlink r:id="rId18">
        <w:r>
          <w:rPr>
            <w:color w:val="2A78D6"/>
            <w:sz w:val="17"/>
          </w:rPr>
          <w:t xml:space="preserve">Maxima Grupė - Consolidated management report 2025 (LT), p. 5-6, 2026-04-07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9.</w:t>
        <w:tab/>
      </w:r>
      <w:hyperlink r:id="rId19">
        <w:r>
          <w:rPr>
            <w:color w:val="2A78D6"/>
            <w:sz w:val="17"/>
          </w:rPr>
          <w:t xml:space="preserve">Maxima Grupė - Consolidated management report 2025 (LT), p. 8, 2026-04-07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10.</w:t>
        <w:tab/>
      </w:r>
      <w:hyperlink r:id="rId20">
        <w:r>
          <w:rPr>
            <w:color w:val="2A78D6"/>
            <w:sz w:val="17"/>
          </w:rPr>
          <w:t xml:space="preserve">Maxima Grupė - Consolidated management report 2025 (LT), p. 7, 2026-04-07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11.</w:t>
        <w:tab/>
      </w:r>
      <w:hyperlink r:id="rId16">
        <w:r>
          <w:rPr>
            <w:color w:val="2A78D6"/>
            <w:sz w:val="17"/>
          </w:rPr>
          <w:t xml:space="preserve">Maxima Grupė - Consolidated interim condensed financial statements 6M 2026 (unaudited, LT), p. 3, 2026-09-04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12.</w:t>
        <w:tab/>
      </w:r>
      <w:hyperlink r:id="rId21">
        <w:r>
          <w:rPr>
            <w:color w:val="2A78D6"/>
            <w:sz w:val="17"/>
          </w:rPr>
          <w:t xml:space="preserve">Maxima Grupė - Consolidated interim condensed financial statements 6M 2026 (unaudited, LT), p. 4, 2026-09-04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13.</w:t>
        <w:tab/>
      </w:r>
      <w:hyperlink r:id="rId22">
        <w:r>
          <w:rPr>
            <w:color w:val="2A78D6"/>
            <w:sz w:val="17"/>
          </w:rPr>
          <w:t xml:space="preserve">Maxima Grupė - Consolidated interim condensed financial statements 6M 2026 (unaudited, LT), p. 5, 2026-09-04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14.</w:t>
        <w:tab/>
      </w:r>
      <w:hyperlink r:id="rId24">
        <w:r>
          <w:rPr>
            <w:color w:val="2A78D6"/>
            <w:sz w:val="17"/>
          </w:rPr>
          <w:t xml:space="preserve">Maxima Grupė - Consolidated management report 2025 (LT), p. 10, 2026-04-07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15.</w:t>
        <w:tab/>
      </w:r>
      <w:hyperlink r:id="rId25">
        <w:r>
          <w:rPr>
            <w:color w:val="2A78D6"/>
            <w:sz w:val="17"/>
          </w:rPr>
          <w:t xml:space="preserve">Maxima Grupė - Consolidated interim condensed financial statements 6M 2026 (unaudited, LT), p. 9-10, 2026-09-04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16.</w:t>
        <w:tab/>
      </w:r>
      <w:hyperlink r:id="rId16">
        <w:r>
          <w:rPr>
            <w:color w:val="2A78D6"/>
            <w:sz w:val="17"/>
          </w:rPr>
          <w:t xml:space="preserve">Maxima Grupė - Consolidated interim condensed financial statements 6M 2026 (unaudited, LT), p. 3, 8, 2026-09-04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17.</w:t>
        <w:tab/>
      </w:r>
      <w:hyperlink r:id="rId26">
        <w:r>
          <w:rPr>
            <w:color w:val="2A78D6"/>
            <w:sz w:val="17"/>
          </w:rPr>
          <w:t xml:space="preserve">Maxima Grupė - Consolidated interim condensed financial statements 6M 2026 (unaudited, LT), p. 10, 2026-09-04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18.</w:t>
        <w:tab/>
      </w:r>
      <w:hyperlink r:id="rId18">
        <w:r>
          <w:rPr>
            <w:color w:val="2A78D6"/>
            <w:sz w:val="17"/>
          </w:rPr>
          <w:t xml:space="preserve">Maxima Grupė - Consolidated management report 2025 (LT), p. 5, 2026-04-07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19.</w:t>
        <w:tab/>
      </w:r>
      <w:hyperlink r:id="rId27">
        <w:r>
          <w:rPr>
            <w:color w:val="2A78D6"/>
            <w:sz w:val="17"/>
          </w:rPr>
          <w:t xml:space="preserve">Maxima Grupė - Consolidated interim condensed financial statements 6M 2026 (unaudited, LT), p. 8, 2026-09-04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20.</w:t>
        <w:tab/>
      </w:r>
      <w:hyperlink r:id="rId28">
        <w:r>
          <w:rPr>
            <w:color w:val="2A78D6"/>
            <w:sz w:val="17"/>
          </w:rPr>
          <w:t xml:space="preserve">Maxima Grupė - Consolidated management report 2025 (LT), p. 3, 2026-04-07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21.</w:t>
        <w:tab/>
      </w:r>
      <w:hyperlink r:id="rId29">
        <w:r>
          <w:rPr>
            <w:color w:val="2A78D6"/>
            <w:sz w:val="17"/>
          </w:rPr>
          <w:t xml:space="preserve">Maxima Grupė - Bond issue page,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22.</w:t>
        <w:tab/>
      </w:r>
      <w:hyperlink r:id="rId30">
        <w:r>
          <w:rPr>
            <w:color w:val="2A78D6"/>
            <w:sz w:val="17"/>
          </w:rPr>
          <w:t xml:space="preserve">Maxima Grupė - Consolidated management report 2025 (LT), p. 4-5, 2026-04-07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23.</w:t>
        <w:tab/>
      </w:r>
      <w:hyperlink r:id="rId31">
        <w:r>
          <w:rPr>
            <w:color w:val="2A78D6"/>
            <w:sz w:val="17"/>
          </w:rPr>
          <w:t xml:space="preserve">tv3.lt – „Maxima LT“ už 5,5 mln. eurų įsigijo pastatą ir sklypą Vilniuje, 2026-10-09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24.</w:t>
        <w:tab/>
      </w:r>
      <w:hyperlink r:id="rId41">
        <w:r>
          <w:rPr>
            <w:color w:val="2A78D6"/>
            <w:sz w:val="17"/>
          </w:rPr>
          <w:t xml:space="preserve">LSM - Maxima Latvia hit with EUR 1.8 million fine for unfair trading practices, 2025-11-06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25.</w:t>
        <w:tab/>
      </w:r>
      <w:hyperlink r:id="rId42">
        <w:r>
          <w:rPr>
            <w:color w:val="2A78D6"/>
            <w:sz w:val="17"/>
          </w:rPr>
          <w:t xml:space="preserve">SEB Agriculture, Fishing, Aquaculture and Animal Welfare sector policy (2026-04-23), p. 5-10, 2026-04-23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26.</w:t>
        <w:tab/>
      </w:r>
      <w:hyperlink r:id="rId28">
        <w:r>
          <w:rPr>
            <w:color w:val="2A78D6"/>
            <w:sz w:val="17"/>
          </w:rPr>
          <w:t xml:space="preserve">Maxima Grupė - Consolidated management report 2025 (LT), p. 3, 53-97, 2026-04-07</w:t>
        </w:r>
      </w:hyperlink>
    </w:p>
    <w:p>
      <w:pPr>
        <w:spacing w:before="40" w:after="60"/>
      </w:pPr>
      <w:r>
        <w:rPr>
          <w:b w:val="0"/>
          <w:color w:val="667085"/>
          <w:sz w:val="16"/>
        </w:rPr>
        <w:t>Ataskaita parengta iš viešų šaltinių. Skaičiai pateikiami taip, kaip juos skelbia emitentas; maži numeriai prie teksto veda į šaltinių sąrašą.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134" w:bottom="1020" w:left="1134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Maxima Grupė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Maxima Grupė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color="D5DCE4" w:space="4"/>
      </w:pBdr>
      <w:tabs>
        <w:tab w:pos="9638" w:val="right"/>
      </w:tabs>
    </w:pPr>
    <w:r>
      <w:rPr>
        <w:b/>
        <w:color w:val="12355B"/>
        <w:sz w:val="16"/>
      </w:rPr>
      <w:t>Maxima Grupė</w:t>
    </w:r>
    <w:r>
      <w:rPr>
        <w:b w:val="0"/>
        <w:color w:val="667085"/>
        <w:sz w:val="16"/>
      </w:rPr>
      <w:tab/>
      <w:t>Emitento apžvalga · 6M2026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www.maximagrupe.eu/uploads/2026%20konsoliduotos%20vadovyb%C4%97s%20ataskaitos/Konsoliduotoji%20Vadovyb%C4%97s%20ataskaita%202025%201.pdf#page=6" TargetMode="External"/><Relationship Id="rId13" Type="http://schemas.openxmlformats.org/officeDocument/2006/relationships/hyperlink" Target="https://www.maximagrupe.eu/naujienos/maxima-grupe-uab-skelbia-350-mln-euru-vertes-penkeriu-metu-trukmes-obligaciju-vieso-siulymo-rezultatus/" TargetMode="External"/><Relationship Id="rId14" Type="http://schemas.openxmlformats.org/officeDocument/2006/relationships/hyperlink" Target="https://www.maximagrupe.eu/uploads/2026%20konsoliduotos%20vadovyb%C4%97s%20ataskaitos/2026.06.30%20Konsoliduotos%20tarpin%C4%97s%20sutrumpintos%20finansin%C4%97s%20ataskaitos%201.pdf#page=7" TargetMode="External"/><Relationship Id="rId15" Type="http://schemas.openxmlformats.org/officeDocument/2006/relationships/hyperlink" Target="https://www.maximagrupe.eu/naujienos/maxima-grupes-2026-m-pirmasis-pusmetis-pajamos-perzenge-2-mlrd-eur-pelningumas-mazejo/" TargetMode="External"/><Relationship Id="rId16" Type="http://schemas.openxmlformats.org/officeDocument/2006/relationships/hyperlink" Target="https://www.maximagrupe.eu/uploads/2026%20konsoliduotos%20vadovyb%C4%97s%20ataskaitos/2026.06.30%20Konsoliduotos%20tarpin%C4%97s%20sutrumpintos%20finansin%C4%97s%20ataskaitos%201.pdf#page=3" TargetMode="External"/><Relationship Id="rId17" Type="http://schemas.openxmlformats.org/officeDocument/2006/relationships/hyperlink" Target="https://eng.lsm.lv/article/society/crime/27.02.2026-cartel-suspected-between-two-food-retailers-in-latvia.a636654/" TargetMode="External"/><Relationship Id="rId18" Type="http://schemas.openxmlformats.org/officeDocument/2006/relationships/hyperlink" Target="https://www.maximagrupe.eu/uploads/2026%20konsoliduotos%20vadovyb%C4%97s%20ataskaitos/Konsoliduotoji%20Vadovyb%C4%97s%20ataskaita%202025%201.pdf#page=5" TargetMode="External"/><Relationship Id="rId19" Type="http://schemas.openxmlformats.org/officeDocument/2006/relationships/hyperlink" Target="https://www.maximagrupe.eu/uploads/2026%20konsoliduotos%20vadovyb%C4%97s%20ataskaitos/Konsoliduotoji%20Vadovyb%C4%97s%20ataskaita%202025%201.pdf#page=8" TargetMode="External"/><Relationship Id="rId20" Type="http://schemas.openxmlformats.org/officeDocument/2006/relationships/hyperlink" Target="https://www.maximagrupe.eu/uploads/2026%20konsoliduotos%20vadovyb%C4%97s%20ataskaitos/Konsoliduotoji%20Vadovyb%C4%97s%20ataskaita%202025%201.pdf#page=7" TargetMode="External"/><Relationship Id="rId21" Type="http://schemas.openxmlformats.org/officeDocument/2006/relationships/hyperlink" Target="https://www.maximagrupe.eu/uploads/2026%20konsoliduotos%20vadovyb%C4%97s%20ataskaitos/2026.06.30%20Konsoliduotos%20tarpin%C4%97s%20sutrumpintos%20finansin%C4%97s%20ataskaitos%201.pdf#page=4" TargetMode="External"/><Relationship Id="rId22" Type="http://schemas.openxmlformats.org/officeDocument/2006/relationships/hyperlink" Target="https://www.maximagrupe.eu/uploads/2026%20konsoliduotos%20vadovyb%C4%97s%20ataskaitos/2026.06.30%20Konsoliduotos%20tarpin%C4%97s%20sutrumpintos%20finansin%C4%97s%20ataskaitos%201.pdf#page=5" TargetMode="External"/><Relationship Id="rId23" Type="http://schemas.openxmlformats.org/officeDocument/2006/relationships/image" Target="media/image1.png"/><Relationship Id="rId24" Type="http://schemas.openxmlformats.org/officeDocument/2006/relationships/hyperlink" Target="https://www.maximagrupe.eu/uploads/2026%20konsoliduotos%20vadovyb%C4%97s%20ataskaitos/Konsoliduotoji%20Vadovyb%C4%97s%20ataskaita%202025%201.pdf#page=10" TargetMode="External"/><Relationship Id="rId25" Type="http://schemas.openxmlformats.org/officeDocument/2006/relationships/hyperlink" Target="https://www.maximagrupe.eu/uploads/2026%20konsoliduotos%20vadovyb%C4%97s%20ataskaitos/2026.06.30%20Konsoliduotos%20tarpin%C4%97s%20sutrumpintos%20finansin%C4%97s%20ataskaitos%201.pdf#page=9" TargetMode="External"/><Relationship Id="rId26" Type="http://schemas.openxmlformats.org/officeDocument/2006/relationships/hyperlink" Target="https://www.maximagrupe.eu/uploads/2026%20konsoliduotos%20vadovyb%C4%97s%20ataskaitos/2026.06.30%20Konsoliduotos%20tarpin%C4%97s%20sutrumpintos%20finansin%C4%97s%20ataskaitos%201.pdf#page=10" TargetMode="External"/><Relationship Id="rId27" Type="http://schemas.openxmlformats.org/officeDocument/2006/relationships/hyperlink" Target="https://www.maximagrupe.eu/uploads/2026%20konsoliduotos%20vadovyb%C4%97s%20ataskaitos/2026.06.30%20Konsoliduotos%20tarpin%C4%97s%20sutrumpintos%20finansin%C4%97s%20ataskaitos%201.pdf#page=8" TargetMode="External"/><Relationship Id="rId28" Type="http://schemas.openxmlformats.org/officeDocument/2006/relationships/hyperlink" Target="https://www.maximagrupe.eu/uploads/2026%20konsoliduotos%20vadovyb%C4%97s%20ataskaitos/Konsoliduotoji%20Vadovyb%C4%97s%20ataskaita%202025%201.pdf#page=3" TargetMode="External"/><Relationship Id="rId29" Type="http://schemas.openxmlformats.org/officeDocument/2006/relationships/hyperlink" Target="https://www.maximagrupe.eu/emisija/" TargetMode="External"/><Relationship Id="rId30" Type="http://schemas.openxmlformats.org/officeDocument/2006/relationships/hyperlink" Target="https://www.maximagrupe.eu/uploads/2026%20konsoliduotos%20vadovyb%C4%97s%20ataskaitos/Konsoliduotoji%20Vadovyb%C4%97s%20ataskaita%202025%201.pdf#page=4" TargetMode="External"/><Relationship Id="rId31" Type="http://schemas.openxmlformats.org/officeDocument/2006/relationships/hyperlink" Target="https://news.google.com/rss/articles/CBMiqAFBVV95cUxNSXBDMFpKSl9RR3ZMMGlSdExBaUo4XzdHMWE2ZFBNWW9IYWVTYlhZTm56MFpkOWFWWWtiRnBLY1pkUXpGenFna0g5WjRFeFRmaWxEMHF1N0YwTFNWNnhOZFFmam9FemFxUVRTVEJ5ZXJ3UFdmU2hESHlIRlV5QzA1UWs4VEN6RUpCQzdYR0ViZVNnVFFpV2Q5MldxOTNtVXoxdzktYUZydlE?oc=5" TargetMode="External"/><Relationship Id="rId32" Type="http://schemas.openxmlformats.org/officeDocument/2006/relationships/hyperlink" Target="https://news.google.com/rss/articles/CBMi1wFBVV95cUxNYUI1ZUFsdFlhZW5xYzAwOUlFMndyZ3ZBWU5yaXMtMWpuUTMyYTdNbjFWU1R3ZnA3a2VHd2duTnVUdHMtb1ZTRFpYNXR2Q2xBVHBIQ25YUk9MLTFqMnBJdzlES1Q1djZrQmVCaU5xckZPbXJYcGRhNXRWWlZiZ3ZvOHI0cEtDRGd1TGhHaWYyS3dZeEVpZThOeERKU2VoNm1NRmFXa1lxdVptY0tBd2hPRUptcW02bklJMWFpbFRaeXp1XzV4VkM4YnJFUUdoeHhoNjFIaUR2bw?oc=5" TargetMode="External"/><Relationship Id="rId33" Type="http://schemas.openxmlformats.org/officeDocument/2006/relationships/hyperlink" Target="https://news.google.com/rss/articles/CBMiywFBVV95cUxOLWxDZ3FwNk1aSkdMWE5rRHM2eE5sVXFFcHNZcmJWY1NUa1pOZmVkZEZ3OEphc085ZDhaYXlqQzVFNWM2cDAxbTVOZENpZVRhTkZubjRjMmczWlA3NWtFSDRFLTY1Zl9LeFQtREI3V3hZUG9kWFJNcmI3ZGFrS1JpNzVUeGhDM3daakt2UndRSktXY1Btd3Frb2pPUVo3ZVdKZ08yUFJ3UDlKclBySElkRmo2SnhBM1BGTzRhNzhteGxKcnlFS1dYZ042Zw?oc=5" TargetMode="External"/><Relationship Id="rId34" Type="http://schemas.openxmlformats.org/officeDocument/2006/relationships/hyperlink" Target="https://news.google.com/rss/articles/CBMimgFBVV95cUxNNlgyekNSOF90aGtiOHM2ZHJMMk9NemdNOV95UUY3NVFQd1k3dG9nX0N5bWVYbWs5R0hsS2ZVc2gwYng3Q3RXSEgtY2RDSmxZXzA3RVU1eEtLQ2xuOV9JTnZCZV9Mb3duN1o2ZFIxbzk4NmdGU3AydnhsWjlBUjNzVjk2Q2VvX25keGNwbjVIVkhPcnc5NkJPVFRB?oc=5" TargetMode="External"/><Relationship Id="rId35" Type="http://schemas.openxmlformats.org/officeDocument/2006/relationships/hyperlink" Target="https://news.google.com/rss/articles/CBMipwFBVV95cUxOSFBfMnVPMUJNOEpPQjRRak15TlJENFlPV05Kdkxua0J0cDFSS0xkdVpYWm5BaEZTclV4R0cwZ29rRW92MFdTUld0WjZxSFBGazQ0SWctMmNhUnM1SjltSnZiTmxITEM5U19kVlJxY085QlpDZ0ZENGthNmdYWTBuTnN6d1ZTTV92ODIydm9hTWZ1VFlGZFYyeTlXMEkzTDI5U2hwRk1Raw?oc=5" TargetMode="External"/><Relationship Id="rId36" Type="http://schemas.openxmlformats.org/officeDocument/2006/relationships/hyperlink" Target="https://news.google.com/rss/articles/CBMiugFBVV95cUxQT2o1bk4yRnQyVkktdllGbzdCVGdzTk1fTnRHT3ZrajVBZFl4bjZqMmJTdkwyR3pCcVA0dVNWaFBiUWt4Vll3bGZ1U196QVdnQmhCNnRoUnZoOVdMUV9NN2s1MWZIdXp4QnkwVFlYV3I3T180U3NpRUtJZFNqUVJFM3p1bFR6YmFrTmlaV3pUcWozWHN3V1h2SFl5X2pnb0VWVjB3VmhmMVlUb0Rvd0pkY3pxeE83eFVTS1E?oc=5" TargetMode="External"/><Relationship Id="rId37" Type="http://schemas.openxmlformats.org/officeDocument/2006/relationships/hyperlink" Target="https://news.google.com/rss/articles/CBMilAFBVV95cUxOUXdqWktySVBiNHNZLVlKU01MbUtyeXB5ZjJ4dW5aT0xXalI2ZFFYdlVpSkNldFJ3Qm5HaGJ2bjJZM2ZfQ1FxV1NzZ2lUZ3VDdUYxcVNicjNOazc4U1FUQ1hGdk9QaDJNUGNENkRvazlGbUJqc3NjWjBrOVF5Q0hxOVhnejN5cjJxQVBsTDV3MnJjelNt?oc=5" TargetMode="External"/><Relationship Id="rId38" Type="http://schemas.openxmlformats.org/officeDocument/2006/relationships/hyperlink" Target="https://news.google.com/rss/articles/CBMi6AFBVV95cUxOaE9LR2tjOVh2T3VfeTZDOTZIZGVaOEVtRUJmaW5rMVlBNWdPZDFrTHowQm8xVE1FOUlyMGdIeE1uSWxIYVFaRGMtN3BlSm5xTUxlSVdoWEZrRWlMS0czN0gxOWNwbDMydGhWczVqNThkUTNkc20zS0plQXZVV1ZhdkJSaC02SHV6ckxTMkpHQnY0RXZZTTAwSDUwdWdKZWpDTHRONHFsU0ZKeVd5ZnVjOW12Rk9IT2tMTW4yRGwwVlVkcC11N1MwamJwX1piYVNpdU1NaElTV1AxU09zZThTSW5tMEQ3aC1q?oc=5" TargetMode="External"/><Relationship Id="rId39" Type="http://schemas.openxmlformats.org/officeDocument/2006/relationships/hyperlink" Target="https://news.google.com/rss/articles/CBMirwFBVV95cUxPOE9PNHhNS3NDdzVQVjNNLU5IOW1zTl96eEI3VzhYT3VwMTZZbGxIM3dKOThLbklrSUNPRDJBcFo1cWZDbDRTNi01TkxWTk5qUk1TZXFvQm1pWDByUzZoUHRzMEJGSlRwcXVFcjJVM2hjQ0ZRUWljQldGdzhyVVJ0TkNzTm45V3lqYXFxQWVOMWh2MWpQa1hFXzZKYVZHTFFmeUlNS2NxbzFlMkg3STFB?oc=5" TargetMode="External"/><Relationship Id="rId40" Type="http://schemas.openxmlformats.org/officeDocument/2006/relationships/hyperlink" Target="https://news.google.com/rss/articles/CBMisgFBVV95cUxOTmw2dm5IV0NWNHExcE5mZjBLVUR2U0ZWcl9lQ1Y0eXJxczJUaXRscWJTQnNXcUl0bHB5RVloSkFoQUc1YWl3MTE0MnFfSkhyY3RNT1ZGX3B1SDFRN1RmQnB5NXdlajNmeURNUnVPa2VxOXdDUlYwTkJqcTY3OU9GU3dZRUI4RXp1Tks1b1VBRjQzbG9Pa0lwam9aeU9DX2RiUVEtellPNUthSkRXV045X3lB?oc=5" TargetMode="External"/><Relationship Id="rId41" Type="http://schemas.openxmlformats.org/officeDocument/2006/relationships/hyperlink" Target="https://eng.lsm.lv/article/society/crime/06.11.2025-maxima-latvia-hit-with-eur18-million-fine-for-unfair-trading-practices.a621338/" TargetMode="External"/><Relationship Id="rId42" Type="http://schemas.openxmlformats.org/officeDocument/2006/relationships/hyperlink" Target="https://sebgroup.com/sustainability/our-sustainability-strategy/polic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