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Ports, ferry services (Saaremaa/Hiiumaa), icebreaking, real estate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Worth watching.</w:t>
            </w:r>
            <w:r>
              <w:rPr>
                <w:b w:val="0"/>
                <w:color w:val="1B2430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calculated by the tool)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calculated by the tool)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(calculated by the tool)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Fuel and geopolitics:</w:t>
      </w:r>
      <w:r>
        <w:rPr>
          <w:b w:val="0"/>
        </w:rPr>
        <w:t xml:space="preserve"> operating profit fell 25.7% to EUR 13.6m, mainly on higher fuel prices – fuel costs +47.6% (+EUR 1.4m), with harder ice conditions raising ferry fuel use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company links this to the US-Iran conflict and the Strait of Hormuz blockade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Cargo and passengers:</w:t>
      </w:r>
      <w:r>
        <w:rPr>
          <w:b w:val="0"/>
        </w:rPr>
        <w:t xml:space="preserve"> cargo fell 5.0% to 6.5 Mt, mainly liquid bulk (-33.8%)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Russia's war in Ukraine mainly affects the cargo business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Passengers -2.0% due to the scheduled dry-docking of the Finlandia ferry, while cruise passengers rose 47.8%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rose</w:t>
      </w:r>
      <w:r>
        <w:rPr>
          <w:b w:val="0"/>
        </w:rPr>
        <w:t xml:space="preserve"> 2.4% to EUR 59.3m on more charter days for the icebreaker Botnica and higher electricity and ferry revenue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Management expects more cruise calls and new ro-ro and container lines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2026-07-24 – 2026-10-22: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(calculated by the tool)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(calculated by the tool)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(calculated by the tool)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5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7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7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www.ts.ee/wp-content/uploads/2026/04/Sustainability_Report_2025.pdf" TargetMode="External"/><Relationship Id="rId25" Type="http://schemas.openxmlformats.org/officeDocument/2006/relationships/hyperlink" Target="https://www.ts.ee/wp-content/uploads/2026/04/Sustainability_Report_2025.pdf#page=22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882785365792AC9C12587D700312ACF?opendocument" TargetMode="External"/><Relationship Id="rId28" Type="http://schemas.openxmlformats.org/officeDocument/2006/relationships/hyperlink" Target="https://webapp.sebgroup.com/mb/mblib.nsf/dld/B1113F0C7B3136E4C12587D70030204B?opendocument" TargetMode="External"/><Relationship Id="rId29" Type="http://schemas.openxmlformats.org/officeDocument/2006/relationships/hyperlink" Target="https://www.ts.ee/wp-content/uploads/2026/04/Sustainability_Report_2025.pdf#page=18" TargetMode="External"/><Relationship Id="rId30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