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8"/>
        </w:rPr>
        <w:t>Ignitis grupė</w:t>
      </w:r>
    </w:p>
    <w:p>
      <w:r>
        <w:rPr>
          <w:color w:val="5F6B7A"/>
          <w:sz w:val="24"/>
        </w:rPr>
        <w:t>Issuer review · 6M2026</w:t>
      </w:r>
    </w:p>
    <w:p>
      <w:pPr>
        <w:spacing w:after="0"/>
      </w:pPr>
      <w:r>
        <w:rPr>
          <w:b/>
          <w:sz w:val="19"/>
        </w:rPr>
        <w:t xml:space="preserve">Analysis date: </w:t>
      </w:r>
      <w:r>
        <w:rPr>
          <w:b w:val="0"/>
          <w:sz w:val="19"/>
        </w:rPr>
        <w:t>2026-10-22</w:t>
      </w:r>
    </w:p>
    <w:p>
      <w:pPr>
        <w:spacing w:after="0"/>
      </w:pPr>
      <w:r>
        <w:rPr>
          <w:b/>
          <w:sz w:val="19"/>
        </w:rPr>
        <w:t xml:space="preserve">Rating: </w:t>
      </w:r>
      <w:r>
        <w:rPr>
          <w:b w:val="0"/>
          <w:sz w:val="19"/>
        </w:rPr>
        <w:t>S&amp;P BBB+ (stable), 2026-07-28; Moody's Baa1 (stable), 2026</w:t>
      </w:r>
      <w:hyperlink r:id="rId10">
        <w:r>
          <w:rPr>
            <w:color w:val="2A78D6"/>
            <w:vertAlign w:val="superscript"/>
            <w:sz w:val="16"/>
          </w:rPr>
          <w:t xml:space="preserve">1</w:t>
        </w:r>
      </w:hyperlink>
    </w:p>
    <w:p>
      <w:pPr>
        <w:spacing w:after="0"/>
      </w:pPr>
      <w:r>
        <w:rPr>
          <w:b/>
          <w:sz w:val="19"/>
        </w:rPr>
        <w:t xml:space="preserve">Next report: </w:t>
      </w:r>
      <w:r>
        <w:rPr>
          <w:b w:val="0"/>
          <w:sz w:val="19"/>
        </w:rPr>
        <w:t>Q3 2026 interim report - 2026-11-11</w:t>
      </w:r>
      <w:hyperlink r:id="rId11">
        <w:r>
          <w:rPr>
            <w:color w:val="2A78D6"/>
            <w:vertAlign w:val="superscript"/>
            <w:sz w:val="16"/>
          </w:rPr>
          <w:t xml:space="preserve">2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3F3E8"/>
          </w:tcPr>
          <w:p>
            <w:pPr>
              <w:spacing w:before="60" w:after="60"/>
            </w:pPr>
            <w:r>
              <w:rPr>
                <w:b/>
                <w:color w:val="1A1A1A"/>
                <w:sz w:val="21"/>
              </w:rPr>
              <w:t>Position OK.</w:t>
            </w:r>
            <w:r>
              <w:rPr>
                <w:b w:val="0"/>
                <w:color w:val="1A1A1A"/>
                <w:sz w:val="21"/>
              </w:rPr>
              <w:t xml:space="preserve"> Credit quality is stable: BBB+ / Baa1 ratings and leverage of 3.49x, inside the 3-4x target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0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A1A1A"/>
                <w:sz w:val="21"/>
              </w:rPr>
              <w:t>. Profit is weaker, but the 2026 guidance was kept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A1A1A"/>
                <w:sz w:val="21"/>
              </w:rPr>
              <w:t>. The held bond XS1646530565 is subject to the issuer's tender offer of 2026-10-19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nil"/>
          <w:bottom w:val="single" w:sz="4" w:color="FFFFFF"/>
          <w:right w:val="nil"/>
          <w:insideH w:val="single" w:sz="4" w:color="FFFFFF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Adjusted EBITDA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306.6 EUR m</w:t>
            </w:r>
          </w:p>
          <w:p>
            <w:r>
              <w:rPr>
                <w:color w:val="5F6B7A"/>
                <w:sz w:val="16"/>
              </w:rPr>
              <w:t>▲ 1.9 %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Adjusted net profit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115.8 EUR m</w:t>
            </w:r>
          </w:p>
          <w:p>
            <w:r>
              <w:rPr>
                <w:color w:val="5F6B7A"/>
                <w:sz w:val="16"/>
              </w:rPr>
              <w:t>▼ 20.8 %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Net debt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1,925.3 EUR m</w:t>
            </w:r>
          </w:p>
          <w:p>
            <w:r>
              <w:rPr>
                <w:color w:val="5F6B7A"/>
                <w:sz w:val="16"/>
              </w:rPr>
              <w:t>▲ 19.6 %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Net debt / EBITDA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3.49x</w:t>
            </w:r>
          </w:p>
          <w:p>
            <w:r>
              <w:rPr>
                <w:color w:val="5F6B7A"/>
                <w:sz w:val="16"/>
              </w:rPr>
              <w:t>▲ 0.5x vs 6M2025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Quick summary</w:t>
      </w:r>
    </w:p>
    <w:p>
      <w:pPr>
        <w:pStyle w:val="ListBullet"/>
        <w:spacing w:after="60"/>
      </w:pPr>
      <w:r>
        <w:rPr>
          <w:b/>
        </w:rPr>
        <w:t>Earnings on track:</w:t>
      </w:r>
      <w:r>
        <w:rPr>
          <w:b w:val="0"/>
        </w:rPr>
        <w:t xml:space="preserve"> 6M Adjusted EBITDA was EUR 306.6m, up 1.9%. Networks and Customers &amp; Solutions grew; Green Capacities fell to EUR 149.2m from 166.6m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 The 2026 guidance of EUR 550-600m was kept, and about half of it is already reached (51-56%)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Debt under control:</w:t>
      </w:r>
      <w:r>
        <w:rPr>
          <w:b w:val="0"/>
        </w:rPr>
        <w:t xml:space="preserve"> net debt EUR 1,925.3m, almost unchanged since year-end (+0.7%). Leverage is 3.49x net debt / EBITDA. One metric lags: FFO / net debt 22.2% against a target of at least 23%</w:t>
      </w:r>
      <w:hyperlink r:id="rId12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Ratings stable:</w:t>
      </w:r>
      <w:r>
        <w:rPr>
          <w:b w:val="0"/>
        </w:rPr>
        <w:t xml:space="preserve"> S&amp;P BBB+ (stable, confirmed 2026-07-28) and Moody's Baa1 (stable, first rating in 2026)</w:t>
      </w:r>
      <w:hyperlink r:id="rId10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Decision needed on a held bond:</w:t>
      </w:r>
      <w:r>
        <w:rPr>
          <w:b w:val="0"/>
        </w:rPr>
        <w:t xml:space="preserve"> on 2026-10-19 Ignitis offered to buy back XS1646530565 (2.000%, matures 2027-07-14). The buy-back is financed by a new EUR 300m green bond at 4.500% due 2031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Profit is the weak spot:</w:t>
      </w:r>
      <w:r>
        <w:rPr>
          <w:b w:val="0"/>
        </w:rPr>
        <w:t xml:space="preserve"> adjusted net profit fell 20.8% to EUR 115.8m. Return on capital (Adjusted ROCE, LTM) dropped to 6.7% from 8.6%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Instruments held and ISINs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ISIN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Instrument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Coupon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Maturity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LT0000115768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Ignitis grupė ordinary share (IGN1L)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01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XS1646530565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Ignitis 2.000% green notes 2027</w:t>
            </w:r>
          </w:p>
        </w:tc>
        <w:tc>
          <w:tcPr>
            <w:tcW w:type="dxa" w:w="964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2.000%</w:t>
            </w:r>
          </w:p>
        </w:tc>
        <w:tc>
          <w:tcPr>
            <w:tcW w:type="dxa" w:w="1304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2027-07-14</w:t>
            </w:r>
          </w:p>
        </w:tc>
        <w:tc>
          <w:tcPr>
            <w:tcW w:type="dxa" w:w="3061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Tender offer for any and all notes announced 2026-10-19 (refinanced by new EuGB 4.500% 2031)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XS1853999313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Ignitis 1.875% green notes 2028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1.875%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2028-07-10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01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XS2177349912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Ignitis 2.000% notes 2030</w:t>
            </w:r>
          </w:p>
        </w:tc>
        <w:tc>
          <w:tcPr>
            <w:tcW w:type="dxa" w:w="964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2.000%</w:t>
            </w:r>
          </w:p>
        </w:tc>
        <w:tc>
          <w:tcPr>
            <w:tcW w:type="dxa" w:w="1304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2030-05-21</w:t>
            </w:r>
          </w:p>
        </w:tc>
        <w:tc>
          <w:tcPr>
            <w:tcW w:type="dxa" w:w="3061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Key ratios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6M2025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6M2026</w:t>
            </w:r>
          </w:p>
        </w:tc>
        <w:tc>
          <w:tcPr>
            <w:tcW w:type="dxa" w:w="221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Revenue,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1,298.0*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1,497.5*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15.4 %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Adjusted EBITDA,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527.9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546.1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300.8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306.6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1.9 %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EBITDA,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532.7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482.1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262.5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303.5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15.6 %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Adjusted net profit,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277.5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225.7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146.2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115.8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20.8 %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 profit,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276.2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163.9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111.4*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113.2*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1.6 %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Investments,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812.0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720.3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343.2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306.1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color w:val="5F6B7A"/>
                <w:sz w:val="17"/>
              </w:rPr>
              <w:t>▼ 10.8 %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FFO, EUR m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225.9*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251.4*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11.3 %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Free cash flow, EUR m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64.0*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5.3*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91.7 %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 debt,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1,612.3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1,912.0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1,609.9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1,925.3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▲ 19.6 %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 debt / EBITDA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3.05x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3.50x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2.99x</w:t>
            </w:r>
          </w:p>
        </w:tc>
        <w:tc>
          <w:tcPr>
            <w:tcW w:type="dxa" w:w="1191"/>
            <w:shd w:val="clear" w:color="auto" w:fill="FDF1D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3.49x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▲ 0.5x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FFO / net debt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29.7%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21.0%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29.8%</w:t>
            </w:r>
          </w:p>
        </w:tc>
        <w:tc>
          <w:tcPr>
            <w:tcW w:type="dxa" w:w="1191"/>
            <w:shd w:val="clear" w:color="auto" w:fill="FDF1D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22.2%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7.6 p. p.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Adjusted ROCE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9.0%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7.5%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8.6%</w:t>
            </w:r>
          </w:p>
        </w:tc>
        <w:tc>
          <w:tcPr>
            <w:tcW w:type="dxa" w:w="1191"/>
            <w:shd w:val="clear" w:color="auto" w:fill="FDF1D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6.7%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1.9 p. p.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Equity, EUR m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2,436.8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2,494.7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2,492.0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2,636.1*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5.8 %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assets, EUR m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5,706.0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6,278.9*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5,897.3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6,339.2*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color w:val="5F6B7A"/>
                <w:sz w:val="17"/>
              </w:rPr>
              <w:t>▲ 7.5 %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Dividend per share, EUR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1.33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1.366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0.683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0.704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3.1 %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Installed green capacity, GW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1.4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1.75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20.0 % vs 6M2025</w:t>
            </w:r>
          </w:p>
        </w:tc>
      </w:tr>
    </w:tbl>
    <w:p>
      <w:r>
        <w:rPr>
          <w:i/>
          <w:color w:val="5F6B7A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r>
        <w:rPr>
          <w:i/>
          <w:color w:val="5F6B7A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nitis_e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Business performance review</w:t>
      </w:r>
    </w:p>
    <w:p>
      <w:pPr>
        <w:pStyle w:val="ListBullet"/>
        <w:spacing w:after="60"/>
      </w:pPr>
      <w:r>
        <w:rPr>
          <w:b/>
        </w:rPr>
        <w:t>Networks:</w:t>
      </w:r>
      <w:r>
        <w:rPr>
          <w:b w:val="0"/>
        </w:rPr>
        <w:t xml:space="preserve"> investments EUR 208.3m (+26.1%), 68% of total; segment Adjusted EBITDA EUR 147.3m (132.6m)</w:t>
      </w:r>
      <w:hyperlink r:id="rId30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Green Capacities:</w:t>
      </w:r>
      <w:r>
        <w:rPr>
          <w:b w:val="0"/>
        </w:rPr>
        <w:t xml:space="preserve"> 2.1 GW installed, 0.6 GW under construction (0.7 GW after the Tume BESS FID), 3.4 GW secured</w:t>
      </w:r>
      <w:hyperlink r:id="rId1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 EBITDA declined due to weaker wind in Q1-Q2 and a lower hedge price (EUR 130 → 82/MWh)</w:t>
      </w:r>
      <w:hyperlink r:id="rId31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Reserve Capacities:</w:t>
      </w:r>
      <w:r>
        <w:rPr>
          <w:b w:val="0"/>
        </w:rPr>
        <w:t xml:space="preserve"> Adjusted EBITDA EUR 17.9m (29.1m, −38%); the balancing market is becoming more competitive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Customers &amp; Solutions:</w:t>
      </w:r>
      <w:r>
        <w:rPr>
          <w:b w:val="0"/>
        </w:rPr>
        <w:t xml:space="preserve"> EBITDA EUR 0.2m (−27.7m); supported by higher volumes in a cold winter and one-off gas wholesale deals in Q1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Prosumer impact c. EUR −30m EBITDA in 2025, expected somewhat higher in 2026, 60-70% to be covered by new legislation</w:t>
      </w:r>
      <w:hyperlink r:id="rId31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Projects and deals:</w:t>
      </w:r>
      <w:r>
        <w:rPr>
          <w:b w:val="0"/>
        </w:rPr>
        <w:t xml:space="preserve"> 49% of Vilnius CHP sold (Quaero Capital, March 2026); 399 MW / 798 MWh of BESS under construction; Kruonis PSHP unit 5 ~80% complete; data-centre partner search launched 2026-08-11</w:t>
      </w:r>
      <w:hyperlink r:id="rId32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Safety:</w:t>
      </w:r>
      <w:r>
        <w:rPr>
          <w:b w:val="0"/>
        </w:rPr>
        <w:t xml:space="preserve"> a contractor employee was fatally injured in February 2026</w:t>
      </w:r>
      <w:hyperlink r:id="rId33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Financials</w:t>
      </w:r>
    </w:p>
    <w:p>
      <w:pPr>
        <w:pStyle w:val="ListBullet"/>
        <w:spacing w:after="60"/>
      </w:pPr>
      <w:r>
        <w:rPr>
          <w:b w:val="0"/>
        </w:rPr>
        <w:t>6M revenue EUR 1,497.5m (+15.4%), EBITDA EUR 303.5m (262.5m), net profit EUR 113.2m (111.4m)</w:t>
      </w:r>
      <w:hyperlink r:id="rId18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FFO EUR 251.4m (+11.3%), free cash flow EUR 5.3m (64.0m); investments EUR 306.1m (343.2m, −10.8%)</w:t>
      </w:r>
      <w:hyperlink r:id="rId22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FY2025:</w:t>
      </w:r>
      <w:r>
        <w:rPr>
          <w:b w:val="0"/>
        </w:rPr>
        <w:t xml:space="preserve"> Adjusted EBITDA EUR 546.1m (+3.4%), adjusted net profit EUR 225.7m (−18.7%), net debt up 18.6% to EUR 1,912.0m, FFO / net debt 21.0% (29.7% in 2024)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Past plans vs outcomes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 / target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What changed and why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2026 Adjusted EBITDA EUR 550-600m (set 2026-02-25)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6M: EUR 306.6m; guidance reiterated 2026-08-12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 track: 6M covers 51-56% of the range. Networks and Customers &amp; Solutions grew; Green Capacities fell on weaker wind and a lower hedge price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1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2026 investments EUR 590-690m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6M: EUR 306.1m (44-52% of the range)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27</w:t>
              </w:r>
            </w:hyperlink>
          </w:p>
        </w:tc>
        <w:tc>
          <w:tcPr>
            <w:tcW w:type="dxa" w:w="3175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 track: 6M investments EUR 306.1m (−10.8% y/y); 68% went to Networks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Strategy 2025-2028: investments EUR 3.0-4.0bn, 2028 Adjusted EBITDA EUR 600-680m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New strategy 2026-2029: investments EUR 2.5-3.0bn, 2029 EBITDA EUR 640-700m (investment envelope reduced)</w:t>
            </w:r>
            <w:hyperlink r:id="rId34">
              <w:r>
                <w:rPr>
                  <w:color w:val="2A78D6"/>
                  <w:vertAlign w:val="superscript"/>
                  <w:sz w:val="14"/>
                </w:rPr>
                <w:t xml:space="preserve">28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Changed: the new 2026-2029 plan cuts the investment envelope to EUR 2.5-3.0bn and raises the EBITDA target to EUR 640-700m for 2029. Reason: not stated in the sources reviewed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FDF1D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Revised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FFO / net debt ≥23% (2026-2029)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YE2025: 21.0%; 30 Jun 2026 (LTM): 22.2%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75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Improving but still below target: 21.0% → 22.2% as FFO grew 11.3% while net debt stayed flat (+0.7%)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29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FDE7E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Not met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 debt / Adjusted EBITDA 3-4x; rating BBB or above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3.49x; S&amp;P BBB+, Moody's Baa1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0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Met: leverage 3.49x, in the middle of the range; net debt +0.7% since YE2025; ratings stable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0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Dividend per share growth ≥3% a year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2025: EUR 1.366 (+3.0%); H1 2026: EUR 0.704 (+3.1%)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75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Met: +3.0% for 2025 and +3.1% for H1 2026, although adjusted profit fell 20.8% and free cash flow (EUR 5.3m) does not cover the dividend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Green capacity 2.8-3.2 GW by 2029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2.1 GW installed, 0.7 GW under construction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5">
              <w:r>
                <w:rPr>
                  <w:color w:val="2A78D6"/>
                  <w:vertAlign w:val="superscript"/>
                  <w:sz w:val="14"/>
                </w:rPr>
                <w:t xml:space="preserve">30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Progressing: 2.1 GW installed + 0.7 GW under construction = 2.8 GW, the bottom of the target range (calculated by the tool)</w:t>
            </w:r>
            <w:hyperlink r:id="rId35">
              <w:r>
                <w:rPr>
                  <w:color w:val="2A78D6"/>
                  <w:vertAlign w:val="superscript"/>
                  <w:sz w:val="14"/>
                </w:rPr>
                <w:t xml:space="preserve">30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Investor information &amp; conclusions</w:t>
      </w:r>
    </w:p>
    <w:p>
      <w:pPr>
        <w:pStyle w:val="ListBullet"/>
        <w:spacing w:after="60"/>
      </w:pPr>
      <w:r>
        <w:rPr>
          <w:b/>
        </w:rPr>
        <w:t>Instruments held:</w:t>
      </w:r>
      <w:r>
        <w:rPr>
          <w:b w:val="0"/>
        </w:rPr>
        <w:t xml:space="preserve"> shares (IGN1L) and three bonds (2027, 2028, 2030). The bonds are senior unsecured and carry the issuer rating of BBB+ (S&amp;P)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For bondholders:</w:t>
      </w:r>
      <w:r>
        <w:rPr>
          <w:b w:val="0"/>
        </w:rPr>
        <w:t xml:space="preserve"> leverage (3.49x) is within the strategic 3-4x range and ratings are stable; FFO / net debt (22.2%) is still below the ≥23% target. Investment is mostly in regulated networks</w:t>
      </w:r>
      <w:hyperlink r:id="rId30">
        <w:r>
          <w:rPr>
            <w:color w:val="2A78D6"/>
            <w:vertAlign w:val="superscript"/>
            <w:sz w:val="17"/>
          </w:rPr>
          <w:t xml:space="preserve">31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0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XS1646530565:</w:t>
      </w:r>
      <w:r>
        <w:rPr>
          <w:b w:val="0"/>
        </w:rPr>
        <w:t xml:space="preserve"> the 2026-10-19 tender offer requires a decision (tender or hold to 2027-07-14). Terms and deadline are in the issuer's Tender Offer Launch Announcement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For shareholders:</w:t>
      </w:r>
      <w:r>
        <w:rPr>
          <w:b w:val="0"/>
        </w:rPr>
        <w:t xml:space="preserve"> H1 dividend EUR 0.704 (+3.1%), while adjusted profit is declining (−20.8%). Free cash flow EUR 5.3m - investment and dividends are partly debt-funded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Conclusion:</w:t>
      </w:r>
      <w:r>
        <w:rPr>
          <w:b w:val="0"/>
        </w:rPr>
        <w:t xml:space="preserve"> financial position broadly unchanged versus year-end 2025; credit metrics within strategic limits, ratings stable. Watch: 9M report (2026-11-11), wind and price effects on Green Capacities, FFO / net debt returning to ≥23%.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ESG report</w:t>
      </w:r>
    </w:p>
    <w:p>
      <w:pPr>
        <w:spacing w:before="160"/>
      </w:pPr>
      <w:r>
        <w:rPr>
          <w:b/>
          <w:sz w:val="22"/>
        </w:rPr>
        <w:t>Exclusionary screening (companies)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involved in excluded sectors: controversial and nuclear weapons, tobacco, gambling and restricted sectors in fossil fuel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weapons, tobacco or gambling.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coal generation and no oil &amp; gas exploration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  <w:r>
        <w:rPr>
          <w:b w:val="0"/>
          <w:color w:val="333333"/>
          <w:sz w:val="19"/>
        </w:rPr>
        <w:t>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Owns the gas-fired Elektrėnai complex (reserve capacity) and supplies gas - not restricted by the SEB fossil fuel policy (restricts coal &gt;5% of revenue and new exploration).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red flag/signal related to controversies based on UN Global Compact, OECD Guidelines for Multinational Enterprises or any other relevant principles/standards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red flags (UNGC / OECD breaches) found in public sources and the news scan (2026-10-22).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Ignitis states it upholds the UN Global Compact principles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 the list of sanctions (add a screenshot)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Not found on the EU, UN, UK, US OFAC consolidated sanctions lists (automatic check 2026-10-22).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issues were not identified from adverse media checks (add a screenshot)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adverse news found in the automatic news scan (Lithuanian, Latvian, Estonian and English media, last 30 days, 2026-10-22).</w:t>
      </w:r>
    </w:p>
    <w:p>
      <w:r>
        <w:rPr>
          <w:i/>
          <w:sz w:val="19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ESG integration and positive screening (positive answers imply higher allocation)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promoting environmental or social characteristics (activities, ESG policy, good ESG rating, etc)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Core activities are green generation (2.1 GW installed, 0.6 GW under construction) and power networks</w:t>
      </w:r>
      <w:hyperlink r:id="rId18">
        <w:r>
          <w:rPr>
            <w:color w:val="2A78D6"/>
            <w:vertAlign w:val="superscript"/>
            <w:sz w:val="16"/>
          </w:rPr>
          <w:t xml:space="preserve">9</w:t>
        </w:r>
      </w:hyperlink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Green bonds and a new EU Green Bond Standard (EuGB) bond</w:t>
      </w:r>
      <w:hyperlink r:id="rId17">
        <w:r>
          <w:rPr>
            <w:color w:val="2A78D6"/>
            <w:vertAlign w:val="superscript"/>
            <w:sz w:val="16"/>
          </w:rPr>
          <w:t xml:space="preserve">8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activities of the company or it’s strategy is aligned with the taxonomy and/or Paris agreement targets (e.g. net zero commitment)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EU Taxonomy-aligned capex 84.7% in 2025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SBTi-validated targets in line with 1.5°C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Net zero by 2050 or sooner</w:t>
      </w:r>
      <w:hyperlink r:id="rId36">
        <w:r>
          <w:rPr>
            <w:color w:val="2A78D6"/>
            <w:vertAlign w:val="superscript"/>
            <w:sz w:val="16"/>
          </w:rPr>
          <w:t xml:space="preserve">32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yellow flag/signal related to controversies based on UN Global Compact or any other relevant principles/standards</w:t>
      </w:r>
    </w:p>
    <w:p>
      <w:pPr>
        <w:spacing w:after="0"/>
        <w:ind w:left="397"/>
      </w:pPr>
      <w:r>
        <w:rPr>
          <w:b/>
          <w:color w:val="333333"/>
          <w:sz w:val="19"/>
        </w:rPr>
        <w:t>No material yellow flag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UN Global Compact related controversies found.</w:t>
      </w:r>
    </w:p>
    <w:p>
      <w:pPr>
        <w:spacing w:after="0"/>
        <w:ind w:left="397"/>
      </w:pPr>
      <w:r>
        <w:rPr>
          <w:b/>
          <w:color w:val="333333"/>
          <w:sz w:val="19"/>
        </w:rPr>
        <w:t>To note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A contractor employee was fatally injured in February 2026</w:t>
      </w:r>
      <w:hyperlink r:id="rId33">
        <w:r>
          <w:rPr>
            <w:color w:val="2A78D6"/>
            <w:vertAlign w:val="superscript"/>
            <w:sz w:val="16"/>
          </w:rPr>
          <w:t xml:space="preserve">24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Scope 1 emissions rose 54.7% in 2025 due to higher gas generation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  <w:r>
        <w:rPr>
          <w:b w:val="0"/>
          <w:color w:val="333333"/>
          <w:sz w:val="19"/>
        </w:rPr>
        <w:t>.</w:t>
      </w:r>
    </w:p>
    <w:p>
      <w:pPr>
        <w:spacing w:after="12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Safety is managed under ISO 45001</w:t>
      </w:r>
      <w:hyperlink r:id="rId37">
        <w:r>
          <w:rPr>
            <w:color w:val="2A78D6"/>
            <w:vertAlign w:val="superscript"/>
            <w:sz w:val="16"/>
          </w:rPr>
          <w:t xml:space="preserve">33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fulfills the expectations from SEB thematic and sector policies</w:t>
      </w:r>
    </w:p>
    <w:p>
      <w:pPr>
        <w:spacing w:after="0"/>
        <w:ind w:left="397"/>
      </w:pPr>
      <w:r>
        <w:rPr>
          <w:b/>
          <w:color w:val="333333"/>
          <w:sz w:val="19"/>
        </w:rPr>
        <w:t>Applicable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The SEB Investments policy</w:t>
      </w:r>
      <w:hyperlink r:id="rId38">
        <w:r>
          <w:rPr>
            <w:color w:val="2A78D6"/>
            <w:vertAlign w:val="superscript"/>
            <w:sz w:val="16"/>
          </w:rPr>
          <w:t xml:space="preserve">34</w:t>
        </w:r>
      </w:hyperlink>
      <w:r>
        <w:rPr>
          <w:b w:val="0"/>
          <w:color w:val="333333"/>
          <w:sz w:val="19"/>
        </w:rPr>
        <w:t>, the Electricity &amp; Renewable Energy policy, since green generation and networks make up more than 15% of revenue</w:t>
      </w:r>
      <w:hyperlink r:id="rId39">
        <w:r>
          <w:rPr>
            <w:color w:val="2A78D6"/>
            <w:vertAlign w:val="superscript"/>
            <w:sz w:val="16"/>
          </w:rPr>
          <w:t xml:space="preserve">35</w:t>
        </w:r>
      </w:hyperlink>
      <w:r>
        <w:rPr>
          <w:b w:val="0"/>
          <w:color w:val="333333"/>
          <w:sz w:val="19"/>
        </w:rPr>
        <w:t>, and the Fossil Fuels policy for gas distribution, gas supply and the Elektrėnai reserve plants.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The gas revenue share was not found</w:t>
      </w:r>
      <w:hyperlink r:id="rId40">
        <w:r>
          <w:rPr>
            <w:color w:val="2A78D6"/>
            <w:vertAlign w:val="superscript"/>
            <w:sz w:val="16"/>
          </w:rPr>
          <w:t xml:space="preserve">36</w:t>
        </w:r>
      </w:hyperlink>
      <w:r>
        <w:rPr>
          <w:color w:val="2A78D6"/>
          <w:vertAlign w:val="superscript"/>
        </w:rPr>
        <w:t>,</w:t>
      </w:r>
      <w:hyperlink r:id="rId41">
        <w:r>
          <w:rPr>
            <w:color w:val="2A78D6"/>
            <w:vertAlign w:val="superscript"/>
            <w:sz w:val="16"/>
          </w:rPr>
          <w:t xml:space="preserve">37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Requirements met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Scope 1-3 emissions disclosed (4.49m t CO2e in 2025) and SBTi-validated 1.5°C targets</w:t>
      </w:r>
      <w:hyperlink r:id="rId42">
        <w:r>
          <w:rPr>
            <w:color w:val="2A78D6"/>
            <w:vertAlign w:val="superscript"/>
            <w:sz w:val="16"/>
          </w:rPr>
          <w:t xml:space="preserve">38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ISO 14001 environmental management at ESO, Ignitis gamyba, Ignitis and the Vilnius and Kaunas CHPs</w:t>
      </w:r>
      <w:hyperlink r:id="rId37">
        <w:r>
          <w:rPr>
            <w:color w:val="2A78D6"/>
            <w:vertAlign w:val="superscript"/>
            <w:sz w:val="16"/>
          </w:rPr>
          <w:t xml:space="preserve">33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coal, peat or oil &amp; gas extraction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Expectations met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ISO 45001 safety management, no fatal accidents in 2025</w:t>
      </w:r>
      <w:hyperlink r:id="rId43">
        <w:r>
          <w:rPr>
            <w:color w:val="2A78D6"/>
            <w:vertAlign w:val="superscript"/>
            <w:sz w:val="16"/>
          </w:rPr>
          <w:t xml:space="preserve">39</w:t>
        </w:r>
      </w:hyperlink>
      <w:r>
        <w:rPr>
          <w:color w:val="2A78D6"/>
          <w:vertAlign w:val="superscript"/>
        </w:rPr>
        <w:t>,</w:t>
      </w:r>
      <w:hyperlink r:id="rId37">
        <w:r>
          <w:rPr>
            <w:color w:val="2A78D6"/>
            <w:vertAlign w:val="superscript"/>
            <w:sz w:val="16"/>
          </w:rPr>
          <w:t xml:space="preserve">33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Trust line for anonymous reports</w:t>
      </w:r>
      <w:hyperlink r:id="rId44">
        <w:r>
          <w:rPr>
            <w:color w:val="2A78D6"/>
            <w:vertAlign w:val="superscript"/>
            <w:sz w:val="16"/>
          </w:rPr>
          <w:t xml:space="preserve">40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Anti-corruption policy and ISO 37001 certification</w:t>
      </w:r>
      <w:hyperlink r:id="rId37">
        <w:r>
          <w:rPr>
            <w:color w:val="2A78D6"/>
            <w:vertAlign w:val="superscript"/>
            <w:sz w:val="16"/>
          </w:rPr>
          <w:t xml:space="preserve">33</w:t>
        </w:r>
      </w:hyperlink>
      <w:r>
        <w:rPr>
          <w:color w:val="2A78D6"/>
          <w:vertAlign w:val="superscript"/>
        </w:rPr>
        <w:t>,</w:t>
      </w:r>
      <w:hyperlink r:id="rId44">
        <w:r>
          <w:rPr>
            <w:color w:val="2A78D6"/>
            <w:vertAlign w:val="superscript"/>
            <w:sz w:val="16"/>
          </w:rPr>
          <w:t xml:space="preserve">40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UN Global Compact</w:t>
      </w:r>
      <w:hyperlink r:id="rId42">
        <w:r>
          <w:rPr>
            <w:color w:val="2A78D6"/>
            <w:vertAlign w:val="superscript"/>
            <w:sz w:val="16"/>
          </w:rPr>
          <w:t xml:space="preserve">41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Integrated annual report with climate data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Biodiversity monitoring and mitigation measures</w:t>
      </w:r>
      <w:hyperlink r:id="rId45">
        <w:r>
          <w:rPr>
            <w:color w:val="2A78D6"/>
            <w:vertAlign w:val="superscript"/>
            <w:sz w:val="16"/>
          </w:rPr>
          <w:t xml:space="preserve">42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Could be improved</w:t>
      </w:r>
    </w:p>
    <w:p>
      <w:pPr>
        <w:spacing w:after="12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named human rights due diligence process or quantified biodiversity targets are published</w:t>
      </w:r>
      <w:hyperlink r:id="rId39">
        <w:r>
          <w:rPr>
            <w:color w:val="2A78D6"/>
            <w:vertAlign w:val="superscript"/>
            <w:sz w:val="16"/>
          </w:rPr>
          <w:t xml:space="preserve">43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Engagement</w:t>
      </w:r>
    </w:p>
    <w:p>
      <w:pPr>
        <w:spacing w:before="80" w:after="20"/>
      </w:pPr>
      <w:r>
        <w:rPr>
          <w:sz w:val="24"/>
        </w:rPr>
        <w:t xml:space="preserve">☐ </w:t>
      </w:r>
      <w:r>
        <w:t>Is there a need for pro-active engagement with the company?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No need: the company meets SEB policy expectations and has no red flags.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Indicators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indicators of the company support the targets of sustainability and PAI indicators followed by the Fund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Total GHG emissions 4.49m t CO2e in 2025 (+10.1%)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Carbon intensity (Scope 1+2) 214 g CO2e/kWh in Q1 2026 (−12.8%)</w:t>
      </w:r>
      <w:hyperlink r:id="rId33">
        <w:r>
          <w:rPr>
            <w:color w:val="2A78D6"/>
            <w:vertAlign w:val="superscript"/>
            <w:sz w:val="16"/>
          </w:rPr>
          <w:t xml:space="preserve">24</w:t>
        </w:r>
      </w:hyperlink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Taxonomy-aligned capex 84.7%</w:t>
      </w:r>
      <w:hyperlink r:id="rId26">
        <w:r>
          <w:rPr>
            <w:color w:val="2A78D6"/>
            <w:vertAlign w:val="superscript"/>
            <w:sz w:val="16"/>
          </w:rPr>
          <w:t xml:space="preserve">17</w:t>
        </w:r>
      </w:hyperlink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SBTi-validated 1.5°C targets</w:t>
      </w:r>
      <w:hyperlink r:id="rId46">
        <w:r>
          <w:rPr>
            <w:color w:val="2A78D6"/>
            <w:vertAlign w:val="superscript"/>
            <w:sz w:val="16"/>
          </w:rPr>
          <w:t xml:space="preserve">44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80"/>
      </w:pPr>
      <w:r>
        <w:rPr>
          <w:b/>
        </w:rPr>
        <w:t xml:space="preserve">Conclusion: </w:t>
      </w:r>
      <w:r>
        <w:rPr>
          <w:b w:val="0"/>
        </w:rPr>
        <w:t>No exclusions or red flags. Strong green profile: 84.7% Taxonomy-aligned capex and SBTi-validated targets. Worth watching: higher gas generation in 2025 and contractor safety.</w:t>
      </w:r>
    </w:p>
    <w:p>
      <w:r>
        <w:rPr>
          <w:i/>
          <w:color w:val="5F6B7A"/>
          <w:sz w:val="16"/>
        </w:rPr>
        <w:t>SEB policies applied: Policy on Sustainability Considerations in Investments (SEB AB); Electricity &amp; Renewable Energy sector policy; Fossil Fuels sector policy (coal, oil &amp; gas, peat); Environmental Policy on Climate, Nature and Water (thematic); Social and Human Rights Policy (thematic); Governance expectations in sector policies (anti-corruption, tax, reporting)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Sources</w:t>
      </w:r>
    </w:p>
    <w:p>
      <w:pPr>
        <w:spacing w:after="20"/>
        <w:ind w:left="340" w:hanging="340"/>
      </w:pPr>
      <w:r>
        <w:rPr>
          <w:sz w:val="17"/>
        </w:rPr>
        <w:t xml:space="preserve">1. </w:t>
      </w:r>
      <w:hyperlink r:id="rId10">
        <w:r>
          <w:rPr>
            <w:color w:val="2A78D6"/>
            <w:sz w:val="17"/>
          </w:rPr>
          <w:t xml:space="preserve">Credit ratings page,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2. </w:t>
      </w:r>
      <w:hyperlink r:id="rId11">
        <w:r>
          <w:rPr>
            <w:color w:val="2A78D6"/>
            <w:sz w:val="17"/>
          </w:rPr>
          <w:t xml:space="preserve">Ignitis Group - First six months 2026 interim report, p. 14,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3. </w:t>
      </w:r>
      <w:hyperlink r:id="rId12">
        <w:r>
          <w:rPr>
            <w:color w:val="2A78D6"/>
            <w:sz w:val="17"/>
          </w:rPr>
          <w:t xml:space="preserve">Ignitis Group - First six months 2026 interim report, p. 10,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4. </w:t>
      </w:r>
      <w:hyperlink r:id="rId13">
        <w:r>
          <w:rPr>
            <w:color w:val="2A78D6"/>
            <w:sz w:val="17"/>
          </w:rPr>
          <w:t xml:space="preserve">Press release: 6M 2026 results,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5. </w:t>
      </w:r>
      <w:hyperlink r:id="rId14">
        <w:r>
          <w:rPr>
            <w:color w:val="2A78D6"/>
            <w:sz w:val="17"/>
          </w:rPr>
          <w:t xml:space="preserve">Bonds page (incl. tender offer for XS1646530565),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6. </w:t>
      </w:r>
      <w:hyperlink r:id="rId15">
        <w:r>
          <w:rPr>
            <w:color w:val="2A78D6"/>
            <w:sz w:val="17"/>
          </w:rPr>
          <w:t xml:space="preserve">Ignitis Group - First six months 2026 interim report, p. 24,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7. </w:t>
      </w:r>
      <w:hyperlink r:id="rId16">
        <w:r>
          <w:rPr>
            <w:color w:val="2A78D6"/>
            <w:sz w:val="17"/>
          </w:rPr>
          <w:t xml:space="preserve">Strategic Plan 2026-2029, 2026-05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8. </w:t>
      </w:r>
      <w:hyperlink r:id="rId17">
        <w:r>
          <w:rPr>
            <w:color w:val="2A78D6"/>
            <w:sz w:val="17"/>
          </w:rPr>
          <w:t xml:space="preserve">Press release: inaugural EUR 300m 5-year EuGB bonds priced,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9. </w:t>
      </w:r>
      <w:hyperlink r:id="rId18">
        <w:r>
          <w:rPr>
            <w:color w:val="2A78D6"/>
            <w:sz w:val="17"/>
          </w:rPr>
          <w:t xml:space="preserve">Ignitis Group - First six months 2026 interim report, p. 11,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10. </w:t>
      </w:r>
      <w:hyperlink r:id="rId19">
        <w:r>
          <w:rPr>
            <w:color w:val="2A78D6"/>
            <w:sz w:val="17"/>
          </w:rPr>
          <w:t xml:space="preserve">Ignitis Group - First six months 2026 interim report, p. 23,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11. </w:t>
      </w:r>
      <w:hyperlink r:id="rId20">
        <w:r>
          <w:rPr>
            <w:color w:val="2A78D6"/>
            <w:sz w:val="17"/>
          </w:rPr>
          <w:t xml:space="preserve">Integrated Annual Report 2025, p. 14,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12. </w:t>
      </w:r>
      <w:hyperlink r:id="rId21">
        <w:r>
          <w:rPr>
            <w:color w:val="2A78D6"/>
            <w:sz w:val="17"/>
          </w:rPr>
          <w:t xml:space="preserve">Press release: 2025 results,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13. </w:t>
      </w:r>
      <w:hyperlink r:id="rId22">
        <w:r>
          <w:rPr>
            <w:color w:val="2A78D6"/>
            <w:sz w:val="17"/>
          </w:rPr>
          <w:t xml:space="preserve">Ignitis Group - First six months 2026 interim report, p. 29,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14. </w:t>
      </w:r>
      <w:hyperlink r:id="rId23">
        <w:r>
          <w:rPr>
            <w:color w:val="2A78D6"/>
            <w:sz w:val="17"/>
          </w:rPr>
          <w:t xml:space="preserve">Ignitis Group - First six months 2026 interim report, p. 36,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15. </w:t>
      </w:r>
      <w:hyperlink r:id="rId24">
        <w:r>
          <w:rPr>
            <w:color w:val="2A78D6"/>
            <w:sz w:val="17"/>
          </w:rPr>
          <w:t xml:space="preserve">Ignitis Group - First six months 2026 interim report, p. 32,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16. </w:t>
      </w:r>
      <w:hyperlink r:id="rId25">
        <w:r>
          <w:rPr>
            <w:color w:val="2A78D6"/>
            <w:sz w:val="17"/>
          </w:rPr>
          <w:t xml:space="preserve">Ignitis Group - First six months 2026 interim report, p. 33,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17. </w:t>
      </w:r>
      <w:hyperlink r:id="rId26">
        <w:r>
          <w:rPr>
            <w:color w:val="2A78D6"/>
            <w:sz w:val="17"/>
          </w:rPr>
          <w:t xml:space="preserve">Integrated Annual Report 2025,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18. </w:t>
      </w:r>
      <w:hyperlink r:id="rId27">
        <w:r>
          <w:rPr>
            <w:color w:val="2A78D6"/>
            <w:sz w:val="17"/>
          </w:rPr>
          <w:t xml:space="preserve">Integrated Annual Report 2025, p. 11,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19. </w:t>
      </w:r>
      <w:hyperlink r:id="rId28">
        <w:r>
          <w:rPr>
            <w:color w:val="2A78D6"/>
            <w:sz w:val="17"/>
          </w:rPr>
          <w:t xml:space="preserve">Ignitis Group - First six months 2026 interim report, p. 37,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20. </w:t>
      </w:r>
      <w:hyperlink r:id="rId30">
        <w:r>
          <w:rPr>
            <w:color w:val="2A78D6"/>
            <w:sz w:val="17"/>
          </w:rPr>
          <w:t xml:space="preserve">Ignitis Group - First six months 2026 interim report, p. 5, 24,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21. </w:t>
      </w:r>
      <w:hyperlink r:id="rId18">
        <w:r>
          <w:rPr>
            <w:color w:val="2A78D6"/>
            <w:sz w:val="17"/>
          </w:rPr>
          <w:t xml:space="preserve">Ignitis Group - First six months 2026 interim report, p. 11, 17,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22. </w:t>
      </w:r>
      <w:hyperlink r:id="rId31">
        <w:r>
          <w:rPr>
            <w:color w:val="2A78D6"/>
            <w:sz w:val="17"/>
          </w:rPr>
          <w:t xml:space="preserve">Investor presentation 6M 2026 - call transcript,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23. </w:t>
      </w:r>
      <w:hyperlink r:id="rId32">
        <w:r>
          <w:rPr>
            <w:color w:val="2A78D6"/>
            <w:sz w:val="17"/>
          </w:rPr>
          <w:t xml:space="preserve">Ignitis Group - First six months 2026 interim report, p. 6, 9,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24. </w:t>
      </w:r>
      <w:hyperlink r:id="rId33">
        <w:r>
          <w:rPr>
            <w:color w:val="2A78D6"/>
            <w:sz w:val="17"/>
          </w:rPr>
          <w:t xml:space="preserve">First three months 2026 interim report (regulatory notice), 2026-05-13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25. </w:t>
      </w:r>
      <w:hyperlink r:id="rId18">
        <w:r>
          <w:rPr>
            <w:color w:val="2A78D6"/>
            <w:sz w:val="17"/>
          </w:rPr>
          <w:t xml:space="preserve">Ignitis Group - First six months 2026 interim report, p. 11, 23, 32,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26. </w:t>
      </w:r>
      <w:hyperlink r:id="rId22">
        <w:r>
          <w:rPr>
            <w:color w:val="2A78D6"/>
            <w:sz w:val="17"/>
          </w:rPr>
          <w:t xml:space="preserve">Ignitis Group - First six months 2026 interim report, p. 29, 5,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27. </w:t>
      </w:r>
      <w:hyperlink r:id="rId30">
        <w:r>
          <w:rPr>
            <w:color w:val="2A78D6"/>
            <w:sz w:val="17"/>
          </w:rPr>
          <w:t xml:space="preserve">Ignitis Group - First six months 2026 interim report, p. 5,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28. </w:t>
      </w:r>
      <w:hyperlink r:id="rId34">
        <w:r>
          <w:rPr>
            <w:color w:val="2A78D6"/>
            <w:sz w:val="17"/>
          </w:rPr>
          <w:t xml:space="preserve">Integrated Annual Report 2025, p. 27-28,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29. </w:t>
      </w:r>
      <w:hyperlink r:id="rId12">
        <w:r>
          <w:rPr>
            <w:color w:val="2A78D6"/>
            <w:sz w:val="17"/>
          </w:rPr>
          <w:t xml:space="preserve">Ignitis Group - First six months 2026 interim report, p. 10, 29,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30. </w:t>
      </w:r>
      <w:hyperlink r:id="rId35">
        <w:r>
          <w:rPr>
            <w:color w:val="2A78D6"/>
            <w:sz w:val="17"/>
          </w:rPr>
          <w:t xml:space="preserve">Ignitis Group - First six months 2026 interim report, p. 17,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31. </w:t>
      </w:r>
      <w:hyperlink r:id="rId30">
        <w:r>
          <w:rPr>
            <w:color w:val="2A78D6"/>
            <w:sz w:val="17"/>
          </w:rPr>
          <w:t xml:space="preserve">Ignitis Group - First six months 2026 interim report, p. 5, 10, 2026-08-12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32. </w:t>
      </w:r>
      <w:hyperlink r:id="rId36">
        <w:r>
          <w:rPr>
            <w:color w:val="2A78D6"/>
            <w:sz w:val="17"/>
          </w:rPr>
          <w:t xml:space="preserve">Integrated Annual Report 2025, p. 10,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33. </w:t>
      </w:r>
      <w:hyperlink r:id="rId37">
        <w:r>
          <w:rPr>
            <w:color w:val="2A78D6"/>
            <w:sz w:val="17"/>
          </w:rPr>
          <w:t xml:space="preserve">Ignitis grupė - Politikos ir sertifikatai (website, LT),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34. </w:t>
      </w:r>
      <w:hyperlink r:id="rId38">
        <w:r>
          <w:rPr>
            <w:color w:val="2A78D6"/>
            <w:sz w:val="17"/>
          </w:rPr>
          <w:t xml:space="preserve">SEB Policy on Sustainability Considerations in Investments (2026-04-15), p. 5, 2026-04-15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35. </w:t>
      </w:r>
      <w:hyperlink r:id="rId39">
        <w:r>
          <w:rPr>
            <w:color w:val="2A78D6"/>
            <w:sz w:val="17"/>
          </w:rPr>
          <w:t xml:space="preserve">SEB Sector Policy on Electricity &amp; Renewable Energy (2026-04-23), p. 6,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36. </w:t>
      </w:r>
      <w:hyperlink r:id="rId40">
        <w:r>
          <w:rPr>
            <w:color w:val="2A78D6"/>
            <w:sz w:val="17"/>
          </w:rPr>
          <w:t xml:space="preserve">Integrated Annual Report 2025, p. 24, 39,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37. </w:t>
      </w:r>
      <w:hyperlink r:id="rId41">
        <w:r>
          <w:rPr>
            <w:color w:val="2A78D6"/>
            <w:sz w:val="17"/>
          </w:rPr>
          <w:t xml:space="preserve">SEB Sector Policy on Fossil Fuels (2026-04-23), p. 4, 6,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38. </w:t>
      </w:r>
      <w:hyperlink r:id="rId42">
        <w:r>
          <w:rPr>
            <w:color w:val="2A78D6"/>
            <w:sz w:val="17"/>
          </w:rPr>
          <w:t xml:space="preserve">Integrated Annual Report 2025, p. 8-9, 15,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39. </w:t>
      </w:r>
      <w:hyperlink r:id="rId43">
        <w:r>
          <w:rPr>
            <w:color w:val="2A78D6"/>
            <w:sz w:val="17"/>
          </w:rPr>
          <w:t xml:space="preserve">Integrated Annual Report 2025, p. 16,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40. </w:t>
      </w:r>
      <w:hyperlink r:id="rId44">
        <w:r>
          <w:rPr>
            <w:color w:val="2A78D6"/>
            <w:sz w:val="17"/>
          </w:rPr>
          <w:t xml:space="preserve">Ignitis grupė - Verslo etika (website, LT),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41. </w:t>
      </w:r>
      <w:hyperlink r:id="rId42">
        <w:r>
          <w:rPr>
            <w:color w:val="2A78D6"/>
            <w:sz w:val="17"/>
          </w:rPr>
          <w:t xml:space="preserve">Integrated Annual Report 2025, p. 8, 2026-02-25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42. </w:t>
      </w:r>
      <w:hyperlink r:id="rId45">
        <w:r>
          <w:rPr>
            <w:color w:val="2A78D6"/>
            <w:sz w:val="17"/>
          </w:rPr>
          <w:t xml:space="preserve">Ignitis grupė - Gamta (website, LT),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43. </w:t>
      </w:r>
      <w:hyperlink r:id="rId39">
        <w:r>
          <w:rPr>
            <w:color w:val="2A78D6"/>
            <w:sz w:val="17"/>
          </w:rPr>
          <w:t xml:space="preserve">SEB Sector Policy on Electricity &amp; Renewable Energy (2026-04-23), p. 8,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44. </w:t>
      </w:r>
      <w:hyperlink r:id="rId46">
        <w:r>
          <w:rPr>
            <w:color w:val="2A78D6"/>
            <w:sz w:val="17"/>
          </w:rPr>
          <w:t xml:space="preserve">Integrated Annual Report 2025, p. 9, 2026-02-25</w:t>
        </w:r>
      </w:hyperlink>
    </w:p>
    <w:p>
      <w:r>
        <w:rPr>
          <w:i/>
          <w:color w:val="5F6B7A"/>
          <w:sz w:val="16"/>
        </w:rPr>
        <w:t>Report prepared automatically from public sources. Figures are as published by the issuer; references [S#] point to the source list. Items marked for review must be checked by the analyst before use.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A"/>
        <w:sz w:val="16"/>
      </w:rPr>
      <w:t xml:space="preserve">Ignitis grupė · 6M2026 · 2026-10-22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gnitisgrupe.lt/en/investors/credit-ratings" TargetMode="External"/><Relationship Id="rId11" Type="http://schemas.openxmlformats.org/officeDocument/2006/relationships/hyperlink" Target="https://ignitisgrupe.lt/sites/default/files/public/inline-files/First%20six%20months%202026%20interim%20report.pdf#page=14" TargetMode="External"/><Relationship Id="rId12" Type="http://schemas.openxmlformats.org/officeDocument/2006/relationships/hyperlink" Target="https://ignitisgrupe.lt/sites/default/files/public/inline-files/First%20six%20months%202026%20interim%20report.pdf#page=10" TargetMode="External"/><Relationship Id="rId13" Type="http://schemas.openxmlformats.org/officeDocument/2006/relationships/hyperlink" Target="https://ignitisgrupe.lt/en/news/ignitis-group-reports-sustained-strategic-progress-and-consistent-financial-performance-first" TargetMode="External"/><Relationship Id="rId14" Type="http://schemas.openxmlformats.org/officeDocument/2006/relationships/hyperlink" Target="https://ignitisgrupe.lt/en/investors/bonds" TargetMode="External"/><Relationship Id="rId15" Type="http://schemas.openxmlformats.org/officeDocument/2006/relationships/hyperlink" Target="https://ignitisgrupe.lt/sites/default/files/public/inline-files/First%20six%20months%202026%20interim%20report.pdf#page=24" TargetMode="External"/><Relationship Id="rId16" Type="http://schemas.openxmlformats.org/officeDocument/2006/relationships/hyperlink" Target="https://ignitisgrupe.lt/sites/default/files/public/inline-files/Ignitis%20Group%20Strategic%20Plan%202026%202029.pdf" TargetMode="External"/><Relationship Id="rId17" Type="http://schemas.openxmlformats.org/officeDocument/2006/relationships/hyperlink" Target="https://ignitisgrupe.lt/en/news/ignitis-group-prices-its-inaugural-eur-300-million-5-year-eugb-bonds" TargetMode="External"/><Relationship Id="rId18" Type="http://schemas.openxmlformats.org/officeDocument/2006/relationships/hyperlink" Target="https://ignitisgrupe.lt/sites/default/files/public/inline-files/First%20six%20months%202026%20interim%20report.pdf#page=11" TargetMode="External"/><Relationship Id="rId19" Type="http://schemas.openxmlformats.org/officeDocument/2006/relationships/hyperlink" Target="https://ignitisgrupe.lt/sites/default/files/public/inline-files/First%20six%20months%202026%20interim%20report.pdf#page=23" TargetMode="External"/><Relationship Id="rId20" Type="http://schemas.openxmlformats.org/officeDocument/2006/relationships/hyperlink" Target="https://ignitisgrupe.lt/sites/default/files/public/inline-files/Integrated%20Annual%20Report%202025.pdf#page=14" TargetMode="External"/><Relationship Id="rId21" Type="http://schemas.openxmlformats.org/officeDocument/2006/relationships/hyperlink" Target="https://ignitisgrupe.lt/en/news/ignitis-group-2025-results-record-strategic-progress-07-gw-new-green-capacities-installed" TargetMode="External"/><Relationship Id="rId22" Type="http://schemas.openxmlformats.org/officeDocument/2006/relationships/hyperlink" Target="https://ignitisgrupe.lt/sites/default/files/public/inline-files/First%20six%20months%202026%20interim%20report.pdf#page=29" TargetMode="External"/><Relationship Id="rId23" Type="http://schemas.openxmlformats.org/officeDocument/2006/relationships/hyperlink" Target="https://ignitisgrupe.lt/sites/default/files/public/inline-files/First%20six%20months%202026%20interim%20report.pdf#page=36" TargetMode="External"/><Relationship Id="rId24" Type="http://schemas.openxmlformats.org/officeDocument/2006/relationships/hyperlink" Target="https://ignitisgrupe.lt/sites/default/files/public/inline-files/First%20six%20months%202026%20interim%20report.pdf#page=32" TargetMode="External"/><Relationship Id="rId25" Type="http://schemas.openxmlformats.org/officeDocument/2006/relationships/hyperlink" Target="https://ignitisgrupe.lt/sites/default/files/public/inline-files/First%20six%20months%202026%20interim%20report.pdf#page=33" TargetMode="External"/><Relationship Id="rId26" Type="http://schemas.openxmlformats.org/officeDocument/2006/relationships/hyperlink" Target="https://ignitisgrupe.lt/sites/default/files/public/inline-files/Integrated%20Annual%20Report%202025.pdf" TargetMode="External"/><Relationship Id="rId27" Type="http://schemas.openxmlformats.org/officeDocument/2006/relationships/hyperlink" Target="https://ignitisgrupe.lt/sites/default/files/public/inline-files/Integrated%20Annual%20Report%202025.pdf#page=11" TargetMode="External"/><Relationship Id="rId28" Type="http://schemas.openxmlformats.org/officeDocument/2006/relationships/hyperlink" Target="https://ignitisgrupe.lt/sites/default/files/public/inline-files/First%20six%20months%202026%20interim%20report.pdf#page=37" TargetMode="External"/><Relationship Id="rId29" Type="http://schemas.openxmlformats.org/officeDocument/2006/relationships/image" Target="media/image1.png"/><Relationship Id="rId30" Type="http://schemas.openxmlformats.org/officeDocument/2006/relationships/hyperlink" Target="https://ignitisgrupe.lt/sites/default/files/public/inline-files/First%20six%20months%202026%20interim%20report.pdf#page=5" TargetMode="External"/><Relationship Id="rId31" Type="http://schemas.openxmlformats.org/officeDocument/2006/relationships/hyperlink" Target="https://ignitisgrupe.lt/sites/default/files/public/inline-files/Transcript.%20Investor%20presentation_6M%202026%20results.pdf" TargetMode="External"/><Relationship Id="rId32" Type="http://schemas.openxmlformats.org/officeDocument/2006/relationships/hyperlink" Target="https://ignitisgrupe.lt/sites/default/files/public/inline-files/First%20six%20months%202026%20interim%20report.pdf#page=6" TargetMode="External"/><Relationship Id="rId33" Type="http://schemas.openxmlformats.org/officeDocument/2006/relationships/hyperlink" Target="https://data.fca.org.uk/artefacts/NSM/GNW/b8cfd694-6694-4d57-bf10-2bb5ed7ce1a4.html" TargetMode="External"/><Relationship Id="rId34" Type="http://schemas.openxmlformats.org/officeDocument/2006/relationships/hyperlink" Target="https://ignitisgrupe.lt/sites/default/files/public/inline-files/Integrated%20Annual%20Report%202025.pdf#page=27" TargetMode="External"/><Relationship Id="rId35" Type="http://schemas.openxmlformats.org/officeDocument/2006/relationships/hyperlink" Target="https://ignitisgrupe.lt/sites/default/files/public/inline-files/First%20six%20months%202026%20interim%20report.pdf#page=17" TargetMode="External"/><Relationship Id="rId36" Type="http://schemas.openxmlformats.org/officeDocument/2006/relationships/hyperlink" Target="https://ignitisgrupe.lt/sites/default/files/public/inline-files/Integrated%20Annual%20Report%202025.pdf#page=10" TargetMode="External"/><Relationship Id="rId37" Type="http://schemas.openxmlformats.org/officeDocument/2006/relationships/hyperlink" Target="https://ignitisgrupe.lt/tvarumo-valdymas/politikos-ir-sertifikatai" TargetMode="External"/><Relationship Id="rId38" Type="http://schemas.openxmlformats.org/officeDocument/2006/relationships/hyperlink" Target="https://sebgroup.com/sustainability/our-sustainability-strategy/policies" TargetMode="External"/><Relationship Id="rId39" Type="http://schemas.openxmlformats.org/officeDocument/2006/relationships/hyperlink" Target="https://webapp.sebgroup.com/mb/mblib.nsf/dld/60D2454400789893C12587D70030AFC1?opendocument" TargetMode="External"/><Relationship Id="rId40" Type="http://schemas.openxmlformats.org/officeDocument/2006/relationships/hyperlink" Target="https://ignitisgrupe.lt/sites/default/files/public/inline-files/Integrated%20Annual%20Report%202025.pdf#page=24" TargetMode="External"/><Relationship Id="rId41" Type="http://schemas.openxmlformats.org/officeDocument/2006/relationships/hyperlink" Target="https://webapp.sebgroup.com/mb/mblib.nsf/dld/80AF6A2E5F88CDC2C12586B1002E33C2?opendocument" TargetMode="External"/><Relationship Id="rId42" Type="http://schemas.openxmlformats.org/officeDocument/2006/relationships/hyperlink" Target="https://ignitisgrupe.lt/sites/default/files/public/inline-files/Integrated%20Annual%20Report%202025.pdf#page=8" TargetMode="External"/><Relationship Id="rId43" Type="http://schemas.openxmlformats.org/officeDocument/2006/relationships/hyperlink" Target="https://ignitisgrupe.lt/sites/default/files/public/inline-files/Integrated%20Annual%20Report%202025.pdf#page=16" TargetMode="External"/><Relationship Id="rId44" Type="http://schemas.openxmlformats.org/officeDocument/2006/relationships/hyperlink" Target="https://ignitisgrupe.lt/tvarumo-prioritetai/verslo-etika" TargetMode="External"/><Relationship Id="rId45" Type="http://schemas.openxmlformats.org/officeDocument/2006/relationships/hyperlink" Target="https://ignitisgrupe.lt/tvarumo-prioritetai/gamta" TargetMode="External"/><Relationship Id="rId46" Type="http://schemas.openxmlformats.org/officeDocument/2006/relationships/hyperlink" Target="https://ignitisgrupe.lt/sites/default/files/public/inline-files/Integrated%20Annual%20Report%202025.pdf#page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