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Inbank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No public credit rating found</w:t>
      </w:r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results - expected late October /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1H profit EUR 8.3m (+2%), ROE 9.6%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Capital is above requirements: CET1 13.15% (requirement 9.85%), total capital 18.38% (14.66%)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8.3 EUR m</w:t>
            </w:r>
          </w:p>
          <w:p>
            <w:r>
              <w:rPr>
                <w:color w:val="5F6B7A"/>
                <w:sz w:val="16"/>
              </w:rPr>
              <w:t>▲ 2.5 %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9.6%</w:t>
            </w:r>
          </w:p>
          <w:p>
            <w:r>
              <w:rPr>
                <w:color w:val="5F6B7A"/>
                <w:sz w:val="16"/>
              </w:rPr>
              <w:t>▲ 0.3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13.15%</w:t>
            </w:r>
          </w:p>
          <w:p>
            <w:r>
              <w:rPr>
                <w:color w:val="5F6B7A"/>
                <w:sz w:val="16"/>
              </w:rPr>
              <w:t>▲ 0.12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Total capital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18.38%</w:t>
            </w:r>
          </w:p>
          <w:p>
            <w:r>
              <w:rPr>
                <w:color w:val="5F6B7A"/>
                <w:sz w:val="16"/>
              </w:rPr>
              <w:t>▲ 1.07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Stable profit:</w:t>
      </w:r>
      <w:r>
        <w:rPr>
          <w:b w:val="0"/>
        </w:rPr>
        <w:t xml:space="preserve"> 1H net profit EUR 8.3m (8.1m), Q2 EUR 4.3m (3.6m); ROE 9.6%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with headroom:</w:t>
      </w:r>
      <w:r>
        <w:rPr>
          <w:b w:val="0"/>
        </w:rPr>
        <w:t xml:space="preserve"> CET1 13.15%, total capital 18.38%, leverage ratio 10.83%; a new EUR 8.34m AT1 (8.25%) was issued in June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High liquidity:</w:t>
      </w:r>
      <w:r>
        <w:rPr>
          <w:b w:val="0"/>
        </w:rPr>
        <w:t xml:space="preserve"> LCR 1,161%, NSFR 133%; deposits EUR 1,320m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New direction:</w:t>
      </w:r>
      <w:r>
        <w:rPr>
          <w:b w:val="0"/>
        </w:rPr>
        <w:t xml:space="preserve"> a 50/50 embedded-finance joint venture with Eurobank in Greece (licensing under way, launch expected Q1 2027)</w:t>
      </w:r>
      <w:hyperlink r:id="rId10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8.3*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2.5 %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67.5*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37.5*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3.0 %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85.1*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41.5*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43.9*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56.6%*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54.4%*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55.9%*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54.3%*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1.6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11.3%*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12.3%*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9.3%*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9.6%*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0.3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 of risk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1.5%*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1.59%*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1.6%*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1.54%*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0.06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1,155.1*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1,280*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1,320*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3.1 %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1,171.4*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1,301.1*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1,233.4*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1,320.0*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7.0 %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171.0*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155.7*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176.2*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13.2 %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14.13%*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13.03%*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13.15%*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0.12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18.81%*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17.31%*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18.38%*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1.07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10.71%*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9.75%*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10.83%*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1.08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135.74%*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135.3%*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133.03%*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2.27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2.3%ᶜ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2.4%ᶜ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0.1 p. p. vs FY2025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Loan and rental portfolio EUR 1.32bn</w:t>
      </w:r>
      <w:hyperlink r:id="rId10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Cost of risk 1.54%, normal for a consumer finance bank and, per management, within the target range</w:t>
      </w:r>
      <w:hyperlink r:id="rId10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Green financing in Q2 EUR 28.4m (−23%); EUR 146m in 2025 (+65%)</w:t>
      </w:r>
      <w:hyperlink r:id="rId10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Share of private loans &gt;90 days past due 2.4% (calculated by the tool)</w:t>
      </w:r>
      <w:hyperlink r:id="rId18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net profit EUR 19.2m, ROE 12.3%, cost/income 54.4%, cost of risk 1.59%</w:t>
      </w:r>
      <w:hyperlink r:id="rId1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Dividend for 2025 EUR 0.40 per share (EUR 4.8m)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Expansion into Greece through a joint venture with Eurobank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Agreed July 2026; licensing under way, launch Q1 2027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plan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Keep impairments within the target range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Q2 cost of risk 1.54%, within the target range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a 5.5% subordinated bond due 2031-12-15 (EUR 15m) and a 7.5% perpetual AT1 (EUR 4.5m). Inbank may defer or cancel AT1 coupons at its discretion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2031-12-28 date in the owner's list for the AT1 is not supported by the report: it is perpetual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buffer:</w:t>
      </w:r>
      <w:r>
        <w:rPr>
          <w:b w:val="0"/>
        </w:rPr>
        <w:t xml:space="preserve"> total capital 18.38% versus a 14.66% requirement; CET1 13.15% (9.85%)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No credit rating.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stable profit, capital and liquidity with headroom. For subordinated instruments the key is the capital buffer above requirements.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Consumer and purchase financing and car leasing: no activity in excluded sectors</w:t>
      </w:r>
      <w:hyperlink r:id="rId10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Finantsinspektsioon precepts: in 2023 to Inbank AS to remedy governance, compliance and risk management deficiencies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 October 2025 to Inbank Finance to fix consumer creditworthiness rules by mid-December 2025</w:t>
      </w:r>
      <w:hyperlink r:id="rId23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fines imposed.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apart from the supervisory precepts above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financing (solar, EVs and similar) EUR 146m in 2025, +65%</w:t>
      </w:r>
      <w:hyperlink r:id="rId15">
        <w:r>
          <w:rPr>
            <w:color w:val="2A78D6"/>
            <w:vertAlign w:val="superscript"/>
            <w:sz w:val="16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financing products contribute to the Paris goals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separate net-zero target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significant yellow flags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Supervisory precepts without fines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 and the Environmental and Social &amp; Human Rights policies</w:t>
      </w:r>
      <w:hyperlink r:id="rId24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sectors, growing green financing</w:t>
      </w:r>
      <w:hyperlink r:id="rId15">
        <w:r>
          <w:rPr>
            <w:color w:val="2A78D6"/>
            <w:vertAlign w:val="superscript"/>
            <w:sz w:val="16"/>
          </w:rPr>
          <w:t xml:space="preserve">13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targets and financed emissions not found publicly.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the bank is profitable with a capital buffer.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financing EUR 146m in 2025</w:t>
      </w:r>
      <w:hyperlink r:id="rId15">
        <w:r>
          <w:rPr>
            <w:color w:val="2A78D6"/>
            <w:vertAlign w:val="superscript"/>
            <w:sz w:val="16"/>
          </w:rPr>
          <w:t xml:space="preserve">13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28.4m in Q2 2026</w:t>
      </w:r>
      <w:hyperlink r:id="rId10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Green financing is growing; there were supervisory precepts on governance and credit assessment (no fines).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0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0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2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8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5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3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Inbank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b-cdn.inbank.eu/documents/ee/en/pdf/reports/Inbank_Interim_Report_2026_Q2.pdf#page=5" TargetMode="External"/><Relationship Id="rId11" Type="http://schemas.openxmlformats.org/officeDocument/2006/relationships/hyperlink" Target="https://ib-cdn.inbank.eu/documents/ee/en/pdf/Inbank_Risk_Disclosure_2026_Q2.pdf#page=2" TargetMode="External"/><Relationship Id="rId12" Type="http://schemas.openxmlformats.org/officeDocument/2006/relationships/hyperlink" Target="https://ib-cdn.inbank.eu/documents/ee/en/pdf/Inbank_Risk_Disclosure_2026_Q2.pdf#page=3" TargetMode="External"/><Relationship Id="rId13" Type="http://schemas.openxmlformats.org/officeDocument/2006/relationships/hyperlink" Target="https://ib-cdn.inbank.eu/documents/ee/en/pdf/Inbank_Risk_Disclosure_2026_Q2.pdf#page=4" TargetMode="External"/><Relationship Id="rId14" Type="http://schemas.openxmlformats.org/officeDocument/2006/relationships/hyperlink" Target="https://ib-cdn.inbank.eu/documents/ee/en/pdf/reports/Inbank_Interim_Report_2026_Q2.pdf#page=8" TargetMode="External"/><Relationship Id="rId15" Type="http://schemas.openxmlformats.org/officeDocument/2006/relationships/hyperlink" Target="https://inbank.eu/news/inbank-publishes-audited-annual-report-for-2025" TargetMode="External"/><Relationship Id="rId16" Type="http://schemas.openxmlformats.org/officeDocument/2006/relationships/hyperlink" Target="https://ib-cdn.inbank.eu/documents/ee/en/pdf/reports/Inbank_Interim_Report_2026_Q2.pdf#page=9" TargetMode="External"/><Relationship Id="rId17" Type="http://schemas.openxmlformats.org/officeDocument/2006/relationships/hyperlink" Target="https://inbank.eu/investors/" TargetMode="External"/><Relationship Id="rId18" Type="http://schemas.openxmlformats.org/officeDocument/2006/relationships/hyperlink" Target="https://ib-cdn.inbank.eu/documents/ee/en/pdf/reports/Inbank_Interim_Report_2026_Q2.pdf#page=20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ib-cdn.inbank.eu/documents/ee/en/pdf/reports/Inbank_Interim_Report_2026_Q2.pdf#page=11" TargetMode="External"/><Relationship Id="rId21" Type="http://schemas.openxmlformats.org/officeDocument/2006/relationships/hyperlink" Target="https://ib-cdn.inbank.eu/documents/ee/en/pdf/reports/Inbank_Interim_Report_2026_Q2.pdf#page=26" TargetMode="External"/><Relationship Id="rId22" Type="http://schemas.openxmlformats.org/officeDocument/2006/relationships/hyperlink" Target="https://fi.ee/en/news/finantsinspektsioon-issued-precept-inbank" TargetMode="External"/><Relationship Id="rId23" Type="http://schemas.openxmlformats.org/officeDocument/2006/relationships/hyperlink" Target="https://fi.ee/en/news/finantsinspektsioon-issued-precept-inbank-finance" TargetMode="External"/><Relationship Id="rId24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